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3D298" w14:textId="279FF6ED" w:rsidR="00CD4063" w:rsidRDefault="00D81AA4" w:rsidP="00A65127">
      <w:pPr>
        <w:pStyle w:val="Heading1"/>
      </w:pPr>
      <w:r w:rsidRPr="00D81AA4">
        <w:rPr>
          <w:noProof/>
        </w:rPr>
        <w:t>The King's Fund Staff Pension and Life Assurance Plan</w:t>
      </w:r>
    </w:p>
    <w:p w14:paraId="1E3701A1" w14:textId="557CAE36" w:rsidR="00A65127" w:rsidRPr="00A24828" w:rsidRDefault="009F066B" w:rsidP="00A65127">
      <w:pPr>
        <w:pStyle w:val="Heading1"/>
      </w:pPr>
      <w:r>
        <w:t>Engagement Policy Implementation Statement</w:t>
      </w:r>
      <w:r w:rsidR="00001D39" w:rsidRPr="00001D39">
        <w:rPr>
          <w:noProof/>
        </w:rPr>
        <w:t xml:space="preserve"> </w:t>
      </w:r>
      <w:r w:rsidR="00CD4063">
        <w:rPr>
          <w:noProof/>
        </w:rPr>
        <w:t xml:space="preserve">for the year ending </w:t>
      </w:r>
      <w:r w:rsidR="00D81AA4">
        <w:rPr>
          <w:noProof/>
        </w:rPr>
        <w:t xml:space="preserve">31 March </w:t>
      </w:r>
      <w:r w:rsidR="0075001D">
        <w:rPr>
          <w:noProof/>
        </w:rPr>
        <w:t>2024</w:t>
      </w:r>
    </w:p>
    <w:p w14:paraId="4495D7E1" w14:textId="058FD07D" w:rsidR="00175EBC" w:rsidRPr="0095018F" w:rsidRDefault="00CD4063" w:rsidP="00427ADD">
      <w:pPr>
        <w:keepNext/>
        <w:rPr>
          <w:b/>
        </w:rPr>
      </w:pPr>
      <w:r>
        <w:rPr>
          <w:b/>
        </w:rPr>
        <w:t>Introduction</w:t>
      </w:r>
    </w:p>
    <w:p w14:paraId="3B492AA9" w14:textId="3F2D2D54" w:rsidR="001E6C56" w:rsidRDefault="001E6C56" w:rsidP="001E6C56">
      <w:r w:rsidRPr="00B4113E">
        <w:t xml:space="preserve">The Trustees </w:t>
      </w:r>
      <w:r>
        <w:t>of the</w:t>
      </w:r>
      <w:r w:rsidR="00F73FF5" w:rsidRPr="00D81AA4">
        <w:rPr>
          <w:noProof/>
        </w:rPr>
        <w:t xml:space="preserve"> King's Fund Staff Pension and Life Assurance Plan</w:t>
      </w:r>
      <w:r>
        <w:t xml:space="preserve"> </w:t>
      </w:r>
      <w:r w:rsidR="007D7484">
        <w:t>(the ‘</w:t>
      </w:r>
      <w:r w:rsidR="00F73FF5">
        <w:t>Plan</w:t>
      </w:r>
      <w:r w:rsidR="007D7484">
        <w:t xml:space="preserve">’) </w:t>
      </w:r>
      <w:r>
        <w:t xml:space="preserve">have </w:t>
      </w:r>
      <w:r w:rsidRPr="00B4113E">
        <w:t>a fiduciary duty to consider their approach to the stewardship of the investments, to maximi</w:t>
      </w:r>
      <w:r>
        <w:t>s</w:t>
      </w:r>
      <w:r w:rsidRPr="00B4113E">
        <w:t>e financial returns for the benefit of members and</w:t>
      </w:r>
      <w:r>
        <w:t xml:space="preserve"> beneficiaries</w:t>
      </w:r>
      <w:r w:rsidRPr="00B4113E">
        <w:t xml:space="preserve"> over the long term. T</w:t>
      </w:r>
      <w:r>
        <w:t>he T</w:t>
      </w:r>
      <w:r w:rsidRPr="00B4113E">
        <w:t>rustee</w:t>
      </w:r>
      <w:r w:rsidR="002C0867">
        <w:t>s</w:t>
      </w:r>
      <w:r w:rsidRPr="00B4113E">
        <w:t xml:space="preserve"> can promote an investment’s long</w:t>
      </w:r>
      <w:r>
        <w:t>-</w:t>
      </w:r>
      <w:r w:rsidRPr="00B4113E">
        <w:t>term success through monitoring, engagement and/or voting, either directly or through</w:t>
      </w:r>
      <w:r w:rsidR="002C0867">
        <w:t xml:space="preserve"> </w:t>
      </w:r>
      <w:r w:rsidRPr="00B4113E">
        <w:t>their investment manager.</w:t>
      </w:r>
    </w:p>
    <w:p w14:paraId="0A9D0B86" w14:textId="09F1AFA8" w:rsidR="00AE135C" w:rsidRDefault="00AE135C" w:rsidP="00F00268">
      <w:r>
        <w:t xml:space="preserve">This statement sets out how, and the extent to which, in </w:t>
      </w:r>
      <w:r w:rsidR="001E6C56">
        <w:t>the opinion of the Trustees, the</w:t>
      </w:r>
      <w:r>
        <w:t xml:space="preserve"> policies </w:t>
      </w:r>
      <w:r w:rsidR="00CD4063">
        <w:t xml:space="preserve">(set out in the Statement of Investment Principles) </w:t>
      </w:r>
      <w:r>
        <w:t>on the exercise of rights (including voting rights) attaching to</w:t>
      </w:r>
      <w:r w:rsidR="00CD4063">
        <w:t xml:space="preserve"> the</w:t>
      </w:r>
      <w:r>
        <w:t xml:space="preserve"> investments, and engagement activities ha</w:t>
      </w:r>
      <w:r w:rsidR="001E6C56">
        <w:t>ve</w:t>
      </w:r>
      <w:r>
        <w:t xml:space="preserve"> been followed during the year</w:t>
      </w:r>
      <w:r w:rsidR="001E6C56">
        <w:t xml:space="preserve"> end</w:t>
      </w:r>
      <w:r w:rsidR="00CD4063">
        <w:t xml:space="preserve">ing </w:t>
      </w:r>
      <w:r w:rsidR="00015D3F">
        <w:t xml:space="preserve">31 March </w:t>
      </w:r>
      <w:r w:rsidR="0075001D">
        <w:t>2024</w:t>
      </w:r>
      <w:r>
        <w:t>. This statement also describes the voting behaviour by, or on behalf of</w:t>
      </w:r>
      <w:r w:rsidR="00CD4063">
        <w:t>,</w:t>
      </w:r>
      <w:r>
        <w:t xml:space="preserve"> the </w:t>
      </w:r>
      <w:r w:rsidR="001E6C56">
        <w:t>T</w:t>
      </w:r>
      <w:r>
        <w:t>rustees</w:t>
      </w:r>
      <w:r w:rsidR="00F044E6">
        <w:t xml:space="preserve"> </w:t>
      </w:r>
      <w:r w:rsidR="00F044E6" w:rsidRPr="00F044E6">
        <w:t>including the most significant votes cast during the year, and whether a proxy voter has been used.</w:t>
      </w:r>
    </w:p>
    <w:p w14:paraId="4AE069A5" w14:textId="1ACD7BFA" w:rsidR="00513652" w:rsidRDefault="004357BE" w:rsidP="004357BE">
      <w:r>
        <w:t>The Trustees, in conjunction with their investment consultant, appoint their investment manager and choose the specific pooled fund</w:t>
      </w:r>
      <w:r w:rsidR="004F3BD6">
        <w:t>s</w:t>
      </w:r>
      <w:r>
        <w:t xml:space="preserve"> to use in order to meet specific policies. They expect their investment manager </w:t>
      </w:r>
      <w:r w:rsidR="00513652">
        <w:t xml:space="preserve">where appropriate, to have taken account </w:t>
      </w:r>
      <w:r w:rsidR="00513652" w:rsidRPr="00513652">
        <w:t>of financially material considerations, including environmental, social and governance (ESG) factors as part of their investment analysis and decision-making process</w:t>
      </w:r>
      <w:r w:rsidR="00513652">
        <w:t>.</w:t>
      </w:r>
    </w:p>
    <w:p w14:paraId="385C74A2" w14:textId="3DB74CDC" w:rsidR="004357BE" w:rsidRDefault="00254216" w:rsidP="004357BE">
      <w:r>
        <w:t xml:space="preserve">The Trustees </w:t>
      </w:r>
      <w:r w:rsidR="004357BE">
        <w:t>make decisions based on assessments about the financial and non-financial performance of underlying investments</w:t>
      </w:r>
      <w:r w:rsidR="00CA0038">
        <w:t>,</w:t>
      </w:r>
      <w:r w:rsidR="000D5493">
        <w:t xml:space="preserve"> including environmental, social and governance (ESG) factors</w:t>
      </w:r>
      <w:r w:rsidR="004357BE">
        <w:t xml:space="preserve">, and that they engage with issuers of debt or equity to improve their performance (and thereby the </w:t>
      </w:r>
      <w:r w:rsidR="00F73FF5">
        <w:t>Plan</w:t>
      </w:r>
      <w:r w:rsidR="004357BE">
        <w:t>’s performance) over an appropriate time horizon.</w:t>
      </w:r>
    </w:p>
    <w:p w14:paraId="5D853C75" w14:textId="77777777" w:rsidR="00513652" w:rsidRDefault="00513652" w:rsidP="00513652">
      <w:r>
        <w:t>The Trustees’ objective is that the financial interests of the Plan members is their first priority when choosing investments. The Trustees will take members’ preferences into account if they consider it appropriate to do so.</w:t>
      </w:r>
    </w:p>
    <w:p w14:paraId="364F6DBE" w14:textId="77777777" w:rsidR="00513652" w:rsidRDefault="00513652" w:rsidP="00513652">
      <w:r>
        <w:t>Non-financial matters may be taken into account if the Trustees have good reason to think that the members would share the concern; and that the decision does not involve a risk of significant detriment to members’ financial interests.</w:t>
      </w:r>
    </w:p>
    <w:p w14:paraId="7A84C852" w14:textId="42747D3D" w:rsidR="004357BE" w:rsidRDefault="007B0419" w:rsidP="00513652">
      <w:r>
        <w:lastRenderedPageBreak/>
        <w:t>T</w:t>
      </w:r>
      <w:r w:rsidR="00396F7F">
        <w:t xml:space="preserve">he Trustees </w:t>
      </w:r>
      <w:r>
        <w:t xml:space="preserve">have </w:t>
      </w:r>
      <w:r w:rsidR="00B53E9C">
        <w:t xml:space="preserve">previously </w:t>
      </w:r>
      <w:r w:rsidR="00396F7F">
        <w:t xml:space="preserve">received training </w:t>
      </w:r>
      <w:r w:rsidR="001010DC">
        <w:t xml:space="preserve">from their investment consultant </w:t>
      </w:r>
      <w:r w:rsidR="00FB3864">
        <w:t xml:space="preserve">and investment manager </w:t>
      </w:r>
      <w:r w:rsidR="00396F7F">
        <w:t>on ESG issues</w:t>
      </w:r>
      <w:r w:rsidR="003E2CDD">
        <w:t>.</w:t>
      </w:r>
      <w:r w:rsidR="00FC76E5" w:rsidDel="00FC76E5">
        <w:t xml:space="preserve"> </w:t>
      </w:r>
    </w:p>
    <w:p w14:paraId="595C852C" w14:textId="72096B17" w:rsidR="0041756A" w:rsidRPr="0041756A" w:rsidRDefault="00762FAA" w:rsidP="001719EA">
      <w:pPr>
        <w:keepNext/>
        <w:rPr>
          <w:b/>
        </w:rPr>
      </w:pPr>
      <w:r>
        <w:rPr>
          <w:b/>
        </w:rPr>
        <w:t>Stewardship</w:t>
      </w:r>
      <w:r w:rsidR="009A74F2">
        <w:rPr>
          <w:b/>
        </w:rPr>
        <w:t xml:space="preserve"> - </w:t>
      </w:r>
      <w:r w:rsidR="00165045">
        <w:rPr>
          <w:b/>
        </w:rPr>
        <w:t>m</w:t>
      </w:r>
      <w:r w:rsidR="009A74F2">
        <w:rPr>
          <w:b/>
        </w:rPr>
        <w:t>onitoring</w:t>
      </w:r>
      <w:r w:rsidR="0041756A" w:rsidRPr="0041756A">
        <w:rPr>
          <w:b/>
        </w:rPr>
        <w:t xml:space="preserve"> and </w:t>
      </w:r>
      <w:r w:rsidR="00165045">
        <w:rPr>
          <w:b/>
        </w:rPr>
        <w:t>e</w:t>
      </w:r>
      <w:r w:rsidR="0041756A" w:rsidRPr="0041756A">
        <w:rPr>
          <w:b/>
        </w:rPr>
        <w:t>ngag</w:t>
      </w:r>
      <w:r w:rsidR="0041756A">
        <w:rPr>
          <w:b/>
        </w:rPr>
        <w:t>e</w:t>
      </w:r>
      <w:r w:rsidR="0041756A" w:rsidRPr="0041756A">
        <w:rPr>
          <w:b/>
        </w:rPr>
        <w:t>ment</w:t>
      </w:r>
    </w:p>
    <w:p w14:paraId="13D72586" w14:textId="29A1B771" w:rsidR="002D26BD" w:rsidRDefault="006F1FEE" w:rsidP="00945AE2">
      <w:r>
        <w:t>The Trustees recognise that</w:t>
      </w:r>
      <w:r w:rsidR="002A7161">
        <w:t xml:space="preserve"> the</w:t>
      </w:r>
      <w:r>
        <w:t xml:space="preserve"> </w:t>
      </w:r>
      <w:r w:rsidR="00571835">
        <w:t>investment</w:t>
      </w:r>
      <w:r>
        <w:t xml:space="preserve"> manager</w:t>
      </w:r>
      <w:r w:rsidR="00571835">
        <w:t>’</w:t>
      </w:r>
      <w:r w:rsidR="00FA436F">
        <w:t>s</w:t>
      </w:r>
      <w:r>
        <w:t xml:space="preserve"> </w:t>
      </w:r>
      <w:r w:rsidR="002D26BD">
        <w:t>ability to influence</w:t>
      </w:r>
      <w:r w:rsidR="00762FAA">
        <w:t xml:space="preserve"> the</w:t>
      </w:r>
      <w:r w:rsidR="002D26BD">
        <w:t xml:space="preserve"> companies in which they invest will depend on the nature of the investment. </w:t>
      </w:r>
    </w:p>
    <w:p w14:paraId="3C072924" w14:textId="29A00B57" w:rsidR="00F044E6" w:rsidRDefault="00F044E6" w:rsidP="00945AE2">
      <w:r w:rsidRPr="00446FC8">
        <w:t>The Trustee</w:t>
      </w:r>
      <w:r>
        <w:t>s</w:t>
      </w:r>
      <w:r w:rsidRPr="00446FC8">
        <w:t xml:space="preserve"> acknowledge that the concept of stewardship may be less applicable to some of </w:t>
      </w:r>
      <w:r>
        <w:t>their</w:t>
      </w:r>
      <w:r w:rsidRPr="00446FC8">
        <w:t xml:space="preserve"> assets, particularly for gilt investments. As such the </w:t>
      </w:r>
      <w:r>
        <w:t>Plan’s</w:t>
      </w:r>
      <w:r w:rsidRPr="00446FC8">
        <w:t xml:space="preserve"> investments in these asset classes are not covered by this engagement policy implementation statement.</w:t>
      </w:r>
    </w:p>
    <w:p w14:paraId="125C25C1" w14:textId="3CD5A072" w:rsidR="00945AE2" w:rsidRDefault="002D26BD" w:rsidP="00945AE2">
      <w:r>
        <w:t>T</w:t>
      </w:r>
      <w:r w:rsidR="00945AE2" w:rsidRPr="00B4113E">
        <w:t>he Trustee</w:t>
      </w:r>
      <w:r w:rsidR="00945AE2">
        <w:t>s</w:t>
      </w:r>
      <w:r w:rsidR="002C0867">
        <w:t xml:space="preserve">’ </w:t>
      </w:r>
      <w:r w:rsidR="00945AE2" w:rsidRPr="00B4113E">
        <w:t xml:space="preserve">policy is to delegate responsibility for the exercising of rights (including voting rights) attaching to investments to the investment manager and to encourage the manager to exercise those rights. </w:t>
      </w:r>
      <w:r w:rsidR="00D75933">
        <w:t xml:space="preserve">The investment manager </w:t>
      </w:r>
      <w:r w:rsidR="00725262">
        <w:t xml:space="preserve">is </w:t>
      </w:r>
      <w:r w:rsidR="00D75933">
        <w:t>expected to provide regular reports for the Trustees detailing their voting activity.</w:t>
      </w:r>
    </w:p>
    <w:p w14:paraId="74212770" w14:textId="17EC6799" w:rsidR="00945AE2" w:rsidRDefault="00945AE2" w:rsidP="00945AE2">
      <w:r w:rsidRPr="00B4113E">
        <w:t xml:space="preserve">The Trustees </w:t>
      </w:r>
      <w:r w:rsidR="00A04C07">
        <w:t>also</w:t>
      </w:r>
      <w:r w:rsidRPr="00B4113E">
        <w:t xml:space="preserve"> delegate responsibility for engaging and monitoring investee companies to the investment manager and expect the investment manager to use </w:t>
      </w:r>
      <w:r w:rsidR="002C0867">
        <w:t>t</w:t>
      </w:r>
      <w:r w:rsidRPr="00B4113E">
        <w:t>heir discretion to maximise financial returns for members and others over the long term.</w:t>
      </w:r>
    </w:p>
    <w:p w14:paraId="67A0D1B3" w14:textId="0BDF6A8D" w:rsidR="00F044E6" w:rsidRDefault="00F044E6" w:rsidP="00F044E6">
      <w:pPr>
        <w:keepNext/>
      </w:pPr>
      <w:r>
        <w:t>The Trustees seek to appoint managers that have strong stewardship policies and processes and are supportive of their investment managers being signatories to the United Nations’ Principles for Responsible Investment and the Financial Reporting Council’s UK Stewardship Code 2020. Details of the signatory status of the investment manager is shown below:</w:t>
      </w:r>
    </w:p>
    <w:tbl>
      <w:tblPr>
        <w:tblStyle w:val="Style3"/>
        <w:tblW w:w="0" w:type="auto"/>
        <w:tblLook w:val="04A0" w:firstRow="1" w:lastRow="0" w:firstColumn="1" w:lastColumn="0" w:noHBand="0" w:noVBand="1"/>
      </w:tblPr>
      <w:tblGrid>
        <w:gridCol w:w="3935"/>
        <w:gridCol w:w="2636"/>
        <w:gridCol w:w="2812"/>
      </w:tblGrid>
      <w:tr w:rsidR="00F044E6" w14:paraId="64D71F3D" w14:textId="77777777" w:rsidTr="005C0A33">
        <w:trPr>
          <w:cnfStyle w:val="100000000000" w:firstRow="1" w:lastRow="0" w:firstColumn="0" w:lastColumn="0" w:oddVBand="0" w:evenVBand="0" w:oddHBand="0" w:evenHBand="0" w:firstRowFirstColumn="0" w:firstRowLastColumn="0" w:lastRowFirstColumn="0" w:lastRowLastColumn="0"/>
        </w:trPr>
        <w:tc>
          <w:tcPr>
            <w:tcW w:w="3935" w:type="dxa"/>
          </w:tcPr>
          <w:p w14:paraId="1F99B25F" w14:textId="77777777" w:rsidR="00F044E6" w:rsidRPr="00B15E16" w:rsidRDefault="00F044E6" w:rsidP="005C0A33">
            <w:pPr>
              <w:pStyle w:val="Tablecontent"/>
            </w:pPr>
            <w:r w:rsidRPr="00B15E16">
              <w:rPr>
                <w:color w:val="FFFFFF" w:themeColor="background1"/>
              </w:rPr>
              <w:t>Investment manager</w:t>
            </w:r>
          </w:p>
        </w:tc>
        <w:tc>
          <w:tcPr>
            <w:tcW w:w="2636" w:type="dxa"/>
          </w:tcPr>
          <w:p w14:paraId="665CA107" w14:textId="77777777" w:rsidR="00F044E6" w:rsidRPr="00B15E16" w:rsidRDefault="00F044E6" w:rsidP="005C0A33">
            <w:pPr>
              <w:pStyle w:val="Tablecontent"/>
            </w:pPr>
            <w:r w:rsidRPr="00B15E16">
              <w:rPr>
                <w:color w:val="FFFFFF" w:themeColor="background1"/>
              </w:rPr>
              <w:t>UN PRI Signatory</w:t>
            </w:r>
          </w:p>
        </w:tc>
        <w:tc>
          <w:tcPr>
            <w:tcW w:w="2812" w:type="dxa"/>
          </w:tcPr>
          <w:p w14:paraId="0A9A846E" w14:textId="77777777" w:rsidR="00F044E6" w:rsidRPr="000C531B" w:rsidRDefault="00F044E6" w:rsidP="005C0A33">
            <w:pPr>
              <w:pStyle w:val="Tablecontent"/>
              <w:rPr>
                <w:highlight w:val="black"/>
              </w:rPr>
            </w:pPr>
            <w:r w:rsidRPr="000C531B">
              <w:rPr>
                <w:color w:val="FFFFFF" w:themeColor="background1"/>
              </w:rPr>
              <w:t>UK Stewardship Code Signatory</w:t>
            </w:r>
          </w:p>
        </w:tc>
      </w:tr>
      <w:tr w:rsidR="00F044E6" w14:paraId="360B3079" w14:textId="77777777" w:rsidTr="005C0A33">
        <w:tc>
          <w:tcPr>
            <w:tcW w:w="3935" w:type="dxa"/>
          </w:tcPr>
          <w:p w14:paraId="2BD6589A" w14:textId="314E2EA9" w:rsidR="00F044E6" w:rsidRPr="00A7730D" w:rsidRDefault="00F044E6" w:rsidP="005C0A33">
            <w:pPr>
              <w:pStyle w:val="Tablecontent"/>
            </w:pPr>
            <w:r>
              <w:t>LGIM</w:t>
            </w:r>
          </w:p>
        </w:tc>
        <w:tc>
          <w:tcPr>
            <w:tcW w:w="2636" w:type="dxa"/>
          </w:tcPr>
          <w:p w14:paraId="5911E5EF" w14:textId="76C1D50E" w:rsidR="00F044E6" w:rsidRPr="00483257" w:rsidRDefault="00F044E6" w:rsidP="005C0A33">
            <w:pPr>
              <w:pStyle w:val="Tablecontent"/>
              <w:jc w:val="center"/>
            </w:pPr>
            <w:r w:rsidRPr="00483257">
              <w:t>Yes</w:t>
            </w:r>
          </w:p>
        </w:tc>
        <w:tc>
          <w:tcPr>
            <w:tcW w:w="2812" w:type="dxa"/>
          </w:tcPr>
          <w:p w14:paraId="1EAEE16F" w14:textId="34191C5B" w:rsidR="00F044E6" w:rsidRPr="00483257" w:rsidRDefault="00F044E6" w:rsidP="005C0A33">
            <w:pPr>
              <w:pStyle w:val="Tablecontent"/>
              <w:jc w:val="center"/>
            </w:pPr>
            <w:r w:rsidRPr="00483257">
              <w:t>Yes</w:t>
            </w:r>
          </w:p>
        </w:tc>
      </w:tr>
    </w:tbl>
    <w:p w14:paraId="59F067BD" w14:textId="77777777" w:rsidR="00F044E6" w:rsidRDefault="00F044E6" w:rsidP="00F044E6"/>
    <w:p w14:paraId="645AA82F" w14:textId="14DE2BAA" w:rsidR="00F044E6" w:rsidRDefault="00F044E6" w:rsidP="00F044E6">
      <w:r w:rsidRPr="00F3755E">
        <w:t>The Trustees have not set out their own stewardship priorities but follow that of the investment manager.</w:t>
      </w:r>
    </w:p>
    <w:p w14:paraId="2E7F37C8" w14:textId="2395D080" w:rsidR="00F044E6" w:rsidRDefault="00F044E6" w:rsidP="00F044E6">
      <w:r>
        <w:t xml:space="preserve">The Trustees will engage with </w:t>
      </w:r>
      <w:r w:rsidR="007B0419">
        <w:t>the</w:t>
      </w:r>
      <w:r>
        <w:t xml:space="preserve"> manager should they consider th</w:t>
      </w:r>
      <w:r w:rsidR="007B0419">
        <w:t>e</w:t>
      </w:r>
      <w:r>
        <w:t xml:space="preserve"> manager’s voting and engagement policy to be inadequate or if the voting and engagement undertaken is not aligned with the manager’s own policies, or if the manager’s policies diverge significantly from any stewardship policies identified by the Trustees from time to time. </w:t>
      </w:r>
    </w:p>
    <w:p w14:paraId="77C3FAA9" w14:textId="456C7B1E" w:rsidR="00F044E6" w:rsidRDefault="00F044E6" w:rsidP="00F044E6">
      <w:r>
        <w:t xml:space="preserve">If the Trustees find </w:t>
      </w:r>
      <w:r w:rsidR="007B0419">
        <w:t>the</w:t>
      </w:r>
      <w:r>
        <w:t xml:space="preserve"> manager’s policies or behaviour unacceptable, they may agree an alternative mandate with the manager or decide to review or replace the manager.</w:t>
      </w:r>
    </w:p>
    <w:p w14:paraId="22973729" w14:textId="5BCEA941" w:rsidR="00945AE2" w:rsidRDefault="00945AE2" w:rsidP="00945AE2">
      <w:r w:rsidRPr="00AE4B53">
        <w:t>As all of the investments are held in pooled vehicles, the Trustees do</w:t>
      </w:r>
      <w:r w:rsidR="002C0867">
        <w:t xml:space="preserve"> </w:t>
      </w:r>
      <w:r w:rsidRPr="00AE4B53">
        <w:t xml:space="preserve">not envisage being directly involved with </w:t>
      </w:r>
      <w:r w:rsidR="00A94CAF" w:rsidRPr="00AE4B53">
        <w:t>peer-to-peer</w:t>
      </w:r>
      <w:r w:rsidRPr="00AE4B53">
        <w:t xml:space="preserve"> engagement in investee companies.</w:t>
      </w:r>
    </w:p>
    <w:p w14:paraId="49DB9BEE" w14:textId="5A8FC1AD" w:rsidR="006C0C4E" w:rsidRPr="006C0C4E" w:rsidRDefault="00B70270" w:rsidP="003E2CDD">
      <w:pPr>
        <w:rPr>
          <w:b/>
        </w:rPr>
      </w:pPr>
      <w:r>
        <w:rPr>
          <w:b/>
        </w:rPr>
        <w:lastRenderedPageBreak/>
        <w:t>Investment</w:t>
      </w:r>
      <w:r w:rsidR="00A04C07">
        <w:rPr>
          <w:b/>
        </w:rPr>
        <w:t xml:space="preserve"> </w:t>
      </w:r>
      <w:r w:rsidR="00165045">
        <w:rPr>
          <w:b/>
        </w:rPr>
        <w:t>m</w:t>
      </w:r>
      <w:r w:rsidR="00A04C07">
        <w:rPr>
          <w:b/>
        </w:rPr>
        <w:t xml:space="preserve">anager </w:t>
      </w:r>
      <w:r w:rsidR="00165045">
        <w:rPr>
          <w:b/>
        </w:rPr>
        <w:t>e</w:t>
      </w:r>
      <w:r w:rsidR="00025CBA">
        <w:rPr>
          <w:b/>
        </w:rPr>
        <w:t xml:space="preserve">ngagement </w:t>
      </w:r>
      <w:r w:rsidR="00165045">
        <w:rPr>
          <w:b/>
        </w:rPr>
        <w:t>p</w:t>
      </w:r>
      <w:r w:rsidR="00A04C07">
        <w:rPr>
          <w:b/>
        </w:rPr>
        <w:t>olicies</w:t>
      </w:r>
    </w:p>
    <w:p w14:paraId="5B555FF5" w14:textId="7FC2F512" w:rsidR="002D695D" w:rsidRDefault="002D695D" w:rsidP="002D695D">
      <w:r w:rsidRPr="004D04AF">
        <w:t xml:space="preserve">The </w:t>
      </w:r>
      <w:r w:rsidR="00F73FF5">
        <w:t>Plan</w:t>
      </w:r>
      <w:r w:rsidRPr="004D04AF">
        <w:t xml:space="preserve">’s investment manager </w:t>
      </w:r>
      <w:r w:rsidR="00FA436F">
        <w:t xml:space="preserve">is </w:t>
      </w:r>
      <w:r w:rsidR="00522A7D">
        <w:t>expected to</w:t>
      </w:r>
      <w:r w:rsidR="00874F3F">
        <w:t xml:space="preserve"> </w:t>
      </w:r>
      <w:r w:rsidR="00C1791A">
        <w:t>have</w:t>
      </w:r>
      <w:r w:rsidRPr="004D04AF">
        <w:t xml:space="preserve"> develop</w:t>
      </w:r>
      <w:r w:rsidR="00C1791A">
        <w:t>ed</w:t>
      </w:r>
      <w:r w:rsidRPr="004D04AF">
        <w:t xml:space="preserve"> and publicly disclose</w:t>
      </w:r>
      <w:r w:rsidR="00B70270">
        <w:t>d</w:t>
      </w:r>
      <w:r w:rsidRPr="004D04AF">
        <w:t xml:space="preserve"> an </w:t>
      </w:r>
      <w:r w:rsidR="00165045">
        <w:t>e</w:t>
      </w:r>
      <w:r w:rsidRPr="004D04AF">
        <w:t xml:space="preserve">ngagement </w:t>
      </w:r>
      <w:r w:rsidR="00165045">
        <w:t>p</w:t>
      </w:r>
      <w:r w:rsidRPr="004D04AF">
        <w:t xml:space="preserve">olicy. This policy, amongst other things, provides </w:t>
      </w:r>
      <w:r w:rsidR="00C1791A">
        <w:t>the Trustees with</w:t>
      </w:r>
      <w:r w:rsidRPr="004D04AF">
        <w:t xml:space="preserve"> information on how the investment manager engage</w:t>
      </w:r>
      <w:r w:rsidR="00C66EA6">
        <w:t>s</w:t>
      </w:r>
      <w:r w:rsidRPr="004D04AF">
        <w:t xml:space="preserve"> in dialogue with </w:t>
      </w:r>
      <w:r w:rsidR="00467D2D">
        <w:t xml:space="preserve">the </w:t>
      </w:r>
      <w:r w:rsidRPr="004D04AF">
        <w:t>companies it invests in</w:t>
      </w:r>
      <w:r>
        <w:t xml:space="preserve"> and </w:t>
      </w:r>
      <w:r w:rsidR="00304CEB">
        <w:t xml:space="preserve">how it </w:t>
      </w:r>
      <w:r w:rsidRPr="004D04AF">
        <w:t>exercises voting rights.</w:t>
      </w:r>
      <w:r>
        <w:t xml:space="preserve"> </w:t>
      </w:r>
      <w:r w:rsidRPr="004D04AF">
        <w:t>It also provide</w:t>
      </w:r>
      <w:r>
        <w:t>s</w:t>
      </w:r>
      <w:r w:rsidRPr="004D04AF">
        <w:t xml:space="preserve"> details on the investment approach taken by the investment manager when considering relevant factors of the investee companies, such as strategy, financial and non-financial performance and risk, and applicable social, environmental and corporate governance aspects. </w:t>
      </w:r>
    </w:p>
    <w:p w14:paraId="7E6A5421" w14:textId="47C93CE6" w:rsidR="001740DD" w:rsidRPr="00140254" w:rsidRDefault="00F413AA" w:rsidP="001740DD">
      <w:r>
        <w:t>A l</w:t>
      </w:r>
      <w:r w:rsidR="001740DD" w:rsidRPr="00140254">
        <w:t xml:space="preserve">ink to </w:t>
      </w:r>
      <w:r w:rsidR="00B01F9D">
        <w:t>the</w:t>
      </w:r>
      <w:r w:rsidR="001740DD" w:rsidRPr="00140254">
        <w:t xml:space="preserve"> investment manager’s engagement policy is provided in the Appendix.</w:t>
      </w:r>
    </w:p>
    <w:p w14:paraId="502A7FDB" w14:textId="283252FF" w:rsidR="001740DD" w:rsidRDefault="001740DD" w:rsidP="001740DD">
      <w:r w:rsidRPr="00140254">
        <w:t>The polic</w:t>
      </w:r>
      <w:r w:rsidR="00B01F9D">
        <w:t>y</w:t>
      </w:r>
      <w:r w:rsidRPr="00140254">
        <w:t xml:space="preserve"> </w:t>
      </w:r>
      <w:r w:rsidR="00B01F9D">
        <w:t>is</w:t>
      </w:r>
      <w:r w:rsidRPr="00140254">
        <w:t xml:space="preserve"> </w:t>
      </w:r>
      <w:r w:rsidR="00B01F9D">
        <w:t xml:space="preserve">also </w:t>
      </w:r>
      <w:r w:rsidRPr="00140254">
        <w:t>publicly available on the</w:t>
      </w:r>
      <w:r>
        <w:t xml:space="preserve"> </w:t>
      </w:r>
      <w:r w:rsidRPr="00140254">
        <w:t>manager</w:t>
      </w:r>
      <w:r w:rsidR="00B01F9D">
        <w:t>’s</w:t>
      </w:r>
      <w:r w:rsidRPr="00140254">
        <w:t xml:space="preserve"> website.</w:t>
      </w:r>
    </w:p>
    <w:p w14:paraId="3D18FA50" w14:textId="0E32262A" w:rsidR="00522A7D" w:rsidRDefault="001740DD" w:rsidP="002D695D">
      <w:r>
        <w:t xml:space="preserve">The latest available information provided by the investment manager (for mandates that contain public equities or bonds) covering the year ending 31 March </w:t>
      </w:r>
      <w:r w:rsidR="0075001D">
        <w:t>2024</w:t>
      </w:r>
      <w:r>
        <w:t>, is as follows:</w:t>
      </w:r>
    </w:p>
    <w:tbl>
      <w:tblPr>
        <w:tblStyle w:val="TableGrid"/>
        <w:tblpPr w:leftFromText="180" w:rightFromText="180" w:vertAnchor="text" w:horzAnchor="margin" w:tblpY="161"/>
        <w:tblW w:w="5000" w:type="pct"/>
        <w:tblInd w:w="0" w:type="dxa"/>
        <w:tblBorders>
          <w:top w:val="none" w:sz="0" w:space="0" w:color="auto"/>
          <w:bottom w:val="none" w:sz="0" w:space="0" w:color="auto"/>
          <w:insideH w:val="single" w:sz="4" w:space="0" w:color="auto"/>
        </w:tblBorders>
        <w:tblLook w:val="0620" w:firstRow="1" w:lastRow="0" w:firstColumn="0" w:lastColumn="0" w:noHBand="1" w:noVBand="1"/>
      </w:tblPr>
      <w:tblGrid>
        <w:gridCol w:w="2264"/>
        <w:gridCol w:w="1789"/>
        <w:gridCol w:w="30"/>
        <w:gridCol w:w="1818"/>
        <w:gridCol w:w="150"/>
        <w:gridCol w:w="1666"/>
        <w:gridCol w:w="1666"/>
      </w:tblGrid>
      <w:tr w:rsidR="00A31CE6" w:rsidRPr="00140254" w14:paraId="31F4B540" w14:textId="77777777" w:rsidTr="00287418">
        <w:trPr>
          <w:cnfStyle w:val="100000000000" w:firstRow="1" w:lastRow="0" w:firstColumn="0" w:lastColumn="0" w:oddVBand="0" w:evenVBand="0" w:oddHBand="0" w:evenHBand="0" w:firstRowFirstColumn="0" w:firstRowLastColumn="0" w:lastRowFirstColumn="0" w:lastRowLastColumn="0"/>
          <w:trHeight w:val="354"/>
        </w:trPr>
        <w:tc>
          <w:tcPr>
            <w:tcW w:w="4112" w:type="pct"/>
            <w:gridSpan w:val="6"/>
            <w:tcBorders>
              <w:left w:val="nil"/>
              <w:bottom w:val="single" w:sz="4" w:space="0" w:color="auto"/>
              <w:right w:val="nil"/>
            </w:tcBorders>
            <w:shd w:val="clear" w:color="auto" w:fill="000000" w:themeFill="text1"/>
          </w:tcPr>
          <w:p w14:paraId="108041E9" w14:textId="77777777" w:rsidR="00A31CE6" w:rsidRPr="00A31CE6" w:rsidRDefault="00A31CE6" w:rsidP="00A31CE6">
            <w:pPr>
              <w:pStyle w:val="TableHeaders"/>
              <w:keepNext/>
              <w:rPr>
                <w:b/>
                <w:bCs/>
                <w:sz w:val="18"/>
                <w:szCs w:val="18"/>
                <w:lang w:val="en-GB"/>
              </w:rPr>
            </w:pPr>
            <w:r w:rsidRPr="00A31CE6">
              <w:rPr>
                <w:sz w:val="22"/>
                <w:szCs w:val="18"/>
                <w:lang w:val="en-GB"/>
              </w:rPr>
              <w:t>Engagement</w:t>
            </w:r>
          </w:p>
        </w:tc>
        <w:tc>
          <w:tcPr>
            <w:tcW w:w="888" w:type="pct"/>
            <w:tcBorders>
              <w:left w:val="nil"/>
              <w:bottom w:val="single" w:sz="4" w:space="0" w:color="auto"/>
              <w:right w:val="nil"/>
            </w:tcBorders>
            <w:shd w:val="clear" w:color="auto" w:fill="000000" w:themeFill="text1"/>
          </w:tcPr>
          <w:p w14:paraId="236D44CA" w14:textId="77777777" w:rsidR="00A31CE6" w:rsidRDefault="00A31CE6" w:rsidP="00A31CE6">
            <w:pPr>
              <w:pStyle w:val="TableHeaders"/>
              <w:keepNext/>
              <w:rPr>
                <w:sz w:val="22"/>
                <w:szCs w:val="18"/>
                <w:lang w:val="en-GB"/>
              </w:rPr>
            </w:pPr>
          </w:p>
        </w:tc>
      </w:tr>
      <w:tr w:rsidR="00A31CE6" w:rsidRPr="00140254" w14:paraId="508ABB07" w14:textId="77777777" w:rsidTr="00A31CE6">
        <w:tc>
          <w:tcPr>
            <w:tcW w:w="1206" w:type="pct"/>
            <w:tcBorders>
              <w:left w:val="nil"/>
              <w:bottom w:val="single" w:sz="4" w:space="0" w:color="auto"/>
              <w:right w:val="nil"/>
            </w:tcBorders>
            <w:shd w:val="clear" w:color="auto" w:fill="000000" w:themeFill="text1"/>
            <w:hideMark/>
          </w:tcPr>
          <w:p w14:paraId="13DA371D" w14:textId="77777777" w:rsidR="00A31CE6" w:rsidRPr="00140254" w:rsidRDefault="00A31CE6" w:rsidP="00A31CE6">
            <w:pPr>
              <w:pStyle w:val="TableHeaders"/>
              <w:rPr>
                <w:b w:val="0"/>
                <w:bCs w:val="0"/>
                <w:sz w:val="18"/>
                <w:szCs w:val="18"/>
                <w:lang w:val="en-GB"/>
              </w:rPr>
            </w:pPr>
          </w:p>
        </w:tc>
        <w:tc>
          <w:tcPr>
            <w:tcW w:w="953" w:type="pct"/>
            <w:tcBorders>
              <w:left w:val="nil"/>
              <w:bottom w:val="single" w:sz="4" w:space="0" w:color="auto"/>
              <w:right w:val="nil"/>
            </w:tcBorders>
            <w:shd w:val="clear" w:color="auto" w:fill="000000" w:themeFill="text1"/>
          </w:tcPr>
          <w:p w14:paraId="3581055D" w14:textId="77777777" w:rsidR="00A31CE6" w:rsidRPr="00140254" w:rsidRDefault="00A31CE6" w:rsidP="00A31CE6">
            <w:pPr>
              <w:pStyle w:val="TableHeaders"/>
              <w:rPr>
                <w:b w:val="0"/>
                <w:sz w:val="18"/>
                <w:szCs w:val="18"/>
                <w:lang w:val="en-GB"/>
              </w:rPr>
            </w:pPr>
            <w:r>
              <w:rPr>
                <w:sz w:val="18"/>
                <w:szCs w:val="18"/>
              </w:rPr>
              <w:t>LGIM UK Equity Index</w:t>
            </w:r>
          </w:p>
        </w:tc>
        <w:tc>
          <w:tcPr>
            <w:tcW w:w="1065" w:type="pct"/>
            <w:gridSpan w:val="3"/>
            <w:tcBorders>
              <w:left w:val="nil"/>
              <w:bottom w:val="single" w:sz="4" w:space="0" w:color="auto"/>
              <w:right w:val="nil"/>
            </w:tcBorders>
            <w:shd w:val="clear" w:color="auto" w:fill="000000" w:themeFill="text1"/>
            <w:hideMark/>
          </w:tcPr>
          <w:p w14:paraId="31B7929C" w14:textId="77777777" w:rsidR="00A31CE6" w:rsidRPr="00140254" w:rsidRDefault="00A31CE6" w:rsidP="00A31CE6">
            <w:pPr>
              <w:pStyle w:val="TableHeaders"/>
              <w:rPr>
                <w:b w:val="0"/>
                <w:bCs w:val="0"/>
                <w:sz w:val="18"/>
                <w:szCs w:val="18"/>
                <w:lang w:val="en-GB"/>
              </w:rPr>
            </w:pPr>
            <w:r>
              <w:rPr>
                <w:sz w:val="18"/>
                <w:szCs w:val="18"/>
              </w:rPr>
              <w:t xml:space="preserve">LGIM </w:t>
            </w:r>
            <w:r w:rsidRPr="00A94CAF">
              <w:rPr>
                <w:sz w:val="18"/>
                <w:szCs w:val="18"/>
              </w:rPr>
              <w:t>World (ex UK) Equity Index</w:t>
            </w:r>
          </w:p>
        </w:tc>
        <w:tc>
          <w:tcPr>
            <w:tcW w:w="888" w:type="pct"/>
            <w:tcBorders>
              <w:left w:val="nil"/>
              <w:bottom w:val="single" w:sz="4" w:space="0" w:color="auto"/>
              <w:right w:val="nil"/>
            </w:tcBorders>
            <w:shd w:val="clear" w:color="auto" w:fill="000000" w:themeFill="text1"/>
          </w:tcPr>
          <w:p w14:paraId="6A802BA2" w14:textId="77777777" w:rsidR="00A31CE6" w:rsidRPr="00140254" w:rsidRDefault="00A31CE6" w:rsidP="00A31CE6">
            <w:pPr>
              <w:pStyle w:val="TableHeaders"/>
              <w:rPr>
                <w:b w:val="0"/>
                <w:bCs w:val="0"/>
                <w:sz w:val="18"/>
                <w:szCs w:val="18"/>
                <w:lang w:val="en-GB"/>
              </w:rPr>
            </w:pPr>
            <w:r>
              <w:rPr>
                <w:sz w:val="18"/>
                <w:szCs w:val="18"/>
              </w:rPr>
              <w:t xml:space="preserve">LGIM </w:t>
            </w:r>
            <w:r w:rsidRPr="00A94CAF">
              <w:rPr>
                <w:sz w:val="18"/>
                <w:szCs w:val="18"/>
              </w:rPr>
              <w:t>World (ex UK) Equ</w:t>
            </w:r>
            <w:r>
              <w:rPr>
                <w:sz w:val="18"/>
                <w:szCs w:val="18"/>
              </w:rPr>
              <w:t>ity</w:t>
            </w:r>
            <w:r w:rsidRPr="00A94CAF">
              <w:rPr>
                <w:sz w:val="18"/>
                <w:szCs w:val="18"/>
              </w:rPr>
              <w:t xml:space="preserve"> Ind</w:t>
            </w:r>
            <w:r>
              <w:rPr>
                <w:sz w:val="18"/>
                <w:szCs w:val="18"/>
              </w:rPr>
              <w:t>ex</w:t>
            </w:r>
            <w:r w:rsidRPr="00A94CAF">
              <w:rPr>
                <w:sz w:val="18"/>
                <w:szCs w:val="18"/>
              </w:rPr>
              <w:t xml:space="preserve"> </w:t>
            </w:r>
            <w:r>
              <w:rPr>
                <w:sz w:val="18"/>
                <w:szCs w:val="18"/>
              </w:rPr>
              <w:t>(</w:t>
            </w:r>
            <w:r w:rsidRPr="00A94CAF">
              <w:rPr>
                <w:sz w:val="18"/>
                <w:szCs w:val="18"/>
              </w:rPr>
              <w:t>GBP H</w:t>
            </w:r>
            <w:r>
              <w:rPr>
                <w:sz w:val="18"/>
                <w:szCs w:val="18"/>
              </w:rPr>
              <w:t>ed</w:t>
            </w:r>
            <w:r w:rsidRPr="00A94CAF">
              <w:rPr>
                <w:sz w:val="18"/>
                <w:szCs w:val="18"/>
              </w:rPr>
              <w:t>g</w:t>
            </w:r>
            <w:r>
              <w:rPr>
                <w:sz w:val="18"/>
                <w:szCs w:val="18"/>
              </w:rPr>
              <w:t>e</w:t>
            </w:r>
            <w:r w:rsidRPr="00A94CAF">
              <w:rPr>
                <w:sz w:val="18"/>
                <w:szCs w:val="18"/>
              </w:rPr>
              <w:t>d</w:t>
            </w:r>
            <w:r>
              <w:rPr>
                <w:sz w:val="18"/>
                <w:szCs w:val="18"/>
              </w:rPr>
              <w:t>)</w:t>
            </w:r>
          </w:p>
        </w:tc>
        <w:tc>
          <w:tcPr>
            <w:tcW w:w="888" w:type="pct"/>
            <w:tcBorders>
              <w:left w:val="nil"/>
              <w:bottom w:val="single" w:sz="4" w:space="0" w:color="auto"/>
              <w:right w:val="nil"/>
            </w:tcBorders>
            <w:shd w:val="clear" w:color="auto" w:fill="000000" w:themeFill="text1"/>
          </w:tcPr>
          <w:p w14:paraId="5216D232" w14:textId="5287E5FB" w:rsidR="00A31CE6" w:rsidRPr="00777C03" w:rsidRDefault="00A31CE6" w:rsidP="00A31CE6">
            <w:pPr>
              <w:pStyle w:val="TableHeaders"/>
              <w:rPr>
                <w:sz w:val="18"/>
                <w:szCs w:val="18"/>
                <w:lang w:val="en-GB"/>
              </w:rPr>
            </w:pPr>
            <w:r>
              <w:rPr>
                <w:sz w:val="18"/>
                <w:szCs w:val="18"/>
              </w:rPr>
              <w:t xml:space="preserve">LGIM </w:t>
            </w:r>
            <w:r w:rsidR="00040DF5">
              <w:rPr>
                <w:sz w:val="18"/>
                <w:szCs w:val="18"/>
              </w:rPr>
              <w:t>Maturing B&amp;M Credit 2020-2024</w:t>
            </w:r>
          </w:p>
        </w:tc>
      </w:tr>
      <w:tr w:rsidR="00A31CE6" w:rsidRPr="007B5503" w14:paraId="3BE1AE23" w14:textId="77777777" w:rsidTr="00A31CE6">
        <w:tc>
          <w:tcPr>
            <w:tcW w:w="1206" w:type="pct"/>
            <w:tcBorders>
              <w:top w:val="single" w:sz="4" w:space="0" w:color="auto"/>
              <w:left w:val="nil"/>
              <w:bottom w:val="single" w:sz="4" w:space="0" w:color="auto"/>
              <w:right w:val="nil"/>
            </w:tcBorders>
          </w:tcPr>
          <w:p w14:paraId="7535E6D6" w14:textId="77777777" w:rsidR="00A31CE6" w:rsidRDefault="00A31CE6" w:rsidP="00A31CE6">
            <w:pPr>
              <w:pStyle w:val="Tablecontent"/>
              <w:rPr>
                <w:sz w:val="18"/>
                <w:szCs w:val="18"/>
              </w:rPr>
            </w:pPr>
            <w:r>
              <w:rPr>
                <w:sz w:val="18"/>
                <w:szCs w:val="18"/>
              </w:rPr>
              <w:t>Period</w:t>
            </w:r>
          </w:p>
        </w:tc>
        <w:tc>
          <w:tcPr>
            <w:tcW w:w="969" w:type="pct"/>
            <w:gridSpan w:val="2"/>
            <w:tcBorders>
              <w:top w:val="single" w:sz="4" w:space="0" w:color="auto"/>
              <w:left w:val="nil"/>
              <w:bottom w:val="single" w:sz="4" w:space="0" w:color="auto"/>
              <w:right w:val="nil"/>
            </w:tcBorders>
          </w:tcPr>
          <w:p w14:paraId="2FE5A424" w14:textId="766BF8DD" w:rsidR="00A31CE6" w:rsidRPr="00483257" w:rsidRDefault="00A31CE6" w:rsidP="00A31CE6">
            <w:pPr>
              <w:pStyle w:val="Tablecontent"/>
              <w:rPr>
                <w:sz w:val="18"/>
                <w:szCs w:val="18"/>
              </w:rPr>
            </w:pPr>
            <w:r w:rsidRPr="00483257">
              <w:rPr>
                <w:sz w:val="18"/>
                <w:szCs w:val="18"/>
              </w:rPr>
              <w:t>01/04/</w:t>
            </w:r>
            <w:r w:rsidR="0075001D" w:rsidRPr="00483257">
              <w:rPr>
                <w:sz w:val="18"/>
                <w:szCs w:val="18"/>
              </w:rPr>
              <w:t>2023</w:t>
            </w:r>
            <w:r w:rsidRPr="00483257">
              <w:rPr>
                <w:sz w:val="18"/>
                <w:szCs w:val="18"/>
              </w:rPr>
              <w:t>-31/03/</w:t>
            </w:r>
            <w:r w:rsidR="0075001D" w:rsidRPr="00483257">
              <w:rPr>
                <w:sz w:val="18"/>
                <w:szCs w:val="18"/>
              </w:rPr>
              <w:t>2024</w:t>
            </w:r>
          </w:p>
        </w:tc>
        <w:tc>
          <w:tcPr>
            <w:tcW w:w="969" w:type="pct"/>
            <w:tcBorders>
              <w:top w:val="single" w:sz="4" w:space="0" w:color="auto"/>
              <w:left w:val="nil"/>
              <w:bottom w:val="single" w:sz="4" w:space="0" w:color="auto"/>
              <w:right w:val="nil"/>
            </w:tcBorders>
          </w:tcPr>
          <w:p w14:paraId="17D6D16C" w14:textId="0D461EBF" w:rsidR="00A31CE6" w:rsidRPr="00483257" w:rsidDel="00D02C52" w:rsidRDefault="00A31CE6" w:rsidP="00A31CE6">
            <w:pPr>
              <w:pStyle w:val="Tablecontent"/>
              <w:rPr>
                <w:sz w:val="18"/>
                <w:szCs w:val="18"/>
              </w:rPr>
            </w:pPr>
            <w:r w:rsidRPr="00483257">
              <w:rPr>
                <w:sz w:val="18"/>
                <w:szCs w:val="18"/>
              </w:rPr>
              <w:t>01/04/</w:t>
            </w:r>
            <w:r w:rsidR="0075001D" w:rsidRPr="00483257">
              <w:rPr>
                <w:sz w:val="18"/>
                <w:szCs w:val="18"/>
              </w:rPr>
              <w:t>2023</w:t>
            </w:r>
            <w:r w:rsidRPr="00483257">
              <w:rPr>
                <w:sz w:val="18"/>
                <w:szCs w:val="18"/>
              </w:rPr>
              <w:t>-31/03/</w:t>
            </w:r>
            <w:r w:rsidR="0075001D" w:rsidRPr="00483257">
              <w:rPr>
                <w:sz w:val="18"/>
                <w:szCs w:val="18"/>
              </w:rPr>
              <w:t>2024</w:t>
            </w:r>
          </w:p>
        </w:tc>
        <w:tc>
          <w:tcPr>
            <w:tcW w:w="968" w:type="pct"/>
            <w:gridSpan w:val="2"/>
            <w:tcBorders>
              <w:top w:val="single" w:sz="4" w:space="0" w:color="auto"/>
              <w:left w:val="nil"/>
              <w:bottom w:val="single" w:sz="4" w:space="0" w:color="auto"/>
              <w:right w:val="nil"/>
            </w:tcBorders>
          </w:tcPr>
          <w:p w14:paraId="272CD5A2" w14:textId="2CBE7166" w:rsidR="00A31CE6" w:rsidRPr="00483257" w:rsidRDefault="00A31CE6" w:rsidP="00A31CE6">
            <w:pPr>
              <w:pStyle w:val="Tablecontent"/>
              <w:rPr>
                <w:sz w:val="18"/>
                <w:szCs w:val="18"/>
              </w:rPr>
            </w:pPr>
            <w:r w:rsidRPr="00483257">
              <w:rPr>
                <w:sz w:val="18"/>
                <w:szCs w:val="18"/>
              </w:rPr>
              <w:t>01/04/</w:t>
            </w:r>
            <w:r w:rsidR="0075001D" w:rsidRPr="00483257">
              <w:rPr>
                <w:sz w:val="18"/>
                <w:szCs w:val="18"/>
              </w:rPr>
              <w:t>2023</w:t>
            </w:r>
            <w:r w:rsidRPr="00483257">
              <w:rPr>
                <w:sz w:val="18"/>
                <w:szCs w:val="18"/>
              </w:rPr>
              <w:t>-31/03/</w:t>
            </w:r>
            <w:r w:rsidR="0075001D" w:rsidRPr="00483257">
              <w:rPr>
                <w:sz w:val="18"/>
                <w:szCs w:val="18"/>
              </w:rPr>
              <w:t>2024</w:t>
            </w:r>
          </w:p>
        </w:tc>
        <w:tc>
          <w:tcPr>
            <w:tcW w:w="888" w:type="pct"/>
            <w:tcBorders>
              <w:top w:val="single" w:sz="4" w:space="0" w:color="auto"/>
              <w:left w:val="nil"/>
              <w:bottom w:val="single" w:sz="4" w:space="0" w:color="auto"/>
              <w:right w:val="nil"/>
            </w:tcBorders>
          </w:tcPr>
          <w:p w14:paraId="7E0C6092" w14:textId="2A6D211E" w:rsidR="00A31CE6" w:rsidRPr="00483257" w:rsidRDefault="00A31CE6" w:rsidP="00A31CE6">
            <w:pPr>
              <w:pStyle w:val="Tablecontent"/>
              <w:rPr>
                <w:sz w:val="18"/>
                <w:szCs w:val="18"/>
              </w:rPr>
            </w:pPr>
            <w:r w:rsidRPr="00483257">
              <w:rPr>
                <w:sz w:val="18"/>
                <w:szCs w:val="18"/>
              </w:rPr>
              <w:t>01/04/</w:t>
            </w:r>
            <w:r w:rsidR="0075001D" w:rsidRPr="00483257">
              <w:rPr>
                <w:sz w:val="18"/>
                <w:szCs w:val="18"/>
              </w:rPr>
              <w:t>2023</w:t>
            </w:r>
            <w:r w:rsidRPr="00483257">
              <w:rPr>
                <w:sz w:val="18"/>
                <w:szCs w:val="18"/>
              </w:rPr>
              <w:t>-31/03/</w:t>
            </w:r>
            <w:r w:rsidR="0075001D" w:rsidRPr="00483257">
              <w:rPr>
                <w:sz w:val="18"/>
                <w:szCs w:val="18"/>
              </w:rPr>
              <w:t>2024</w:t>
            </w:r>
          </w:p>
        </w:tc>
      </w:tr>
      <w:tr w:rsidR="00A31CE6" w:rsidRPr="00931183" w14:paraId="54EC7D38" w14:textId="77777777" w:rsidTr="00A31CE6">
        <w:tc>
          <w:tcPr>
            <w:tcW w:w="1206" w:type="pct"/>
            <w:tcBorders>
              <w:top w:val="single" w:sz="4" w:space="0" w:color="auto"/>
              <w:left w:val="nil"/>
              <w:bottom w:val="single" w:sz="4" w:space="0" w:color="auto"/>
              <w:right w:val="nil"/>
            </w:tcBorders>
          </w:tcPr>
          <w:p w14:paraId="5BE23A2C" w14:textId="77777777" w:rsidR="00A31CE6" w:rsidRDefault="00A31CE6" w:rsidP="00A31CE6">
            <w:pPr>
              <w:pStyle w:val="Tablecontent"/>
              <w:rPr>
                <w:sz w:val="18"/>
                <w:szCs w:val="18"/>
              </w:rPr>
            </w:pPr>
            <w:r w:rsidRPr="00777C03">
              <w:rPr>
                <w:sz w:val="18"/>
                <w:szCs w:val="18"/>
              </w:rPr>
              <w:t>Engagement definition</w:t>
            </w:r>
          </w:p>
        </w:tc>
        <w:tc>
          <w:tcPr>
            <w:tcW w:w="3794" w:type="pct"/>
            <w:gridSpan w:val="6"/>
            <w:tcBorders>
              <w:top w:val="single" w:sz="4" w:space="0" w:color="auto"/>
              <w:left w:val="nil"/>
              <w:bottom w:val="single" w:sz="4" w:space="0" w:color="auto"/>
              <w:right w:val="nil"/>
            </w:tcBorders>
          </w:tcPr>
          <w:p w14:paraId="45A48E1B" w14:textId="75C6D4B7" w:rsidR="00A31CE6" w:rsidRPr="00483257" w:rsidRDefault="00A31CE6" w:rsidP="00A31CE6">
            <w:pPr>
              <w:pStyle w:val="Tablecontent"/>
              <w:rPr>
                <w:sz w:val="18"/>
                <w:szCs w:val="18"/>
              </w:rPr>
            </w:pPr>
            <w:r w:rsidRPr="00483257">
              <w:rPr>
                <w:sz w:val="18"/>
                <w:szCs w:val="18"/>
              </w:rPr>
              <w:t xml:space="preserve">Purposeful, targeted communication with an entity (e.g. company, government, industry body, regulator) on </w:t>
            </w:r>
            <w:proofErr w:type="gramStart"/>
            <w:r w:rsidRPr="00483257">
              <w:rPr>
                <w:sz w:val="18"/>
                <w:szCs w:val="18"/>
              </w:rPr>
              <w:t>particular matters</w:t>
            </w:r>
            <w:proofErr w:type="gramEnd"/>
            <w:r w:rsidRPr="00483257">
              <w:rPr>
                <w:sz w:val="18"/>
                <w:szCs w:val="18"/>
              </w:rPr>
              <w:t xml:space="preserve"> of concern with the goal of encouraging change at an individual issuer and/or the goal of addressing a market-wide or system risk (such as climate). Regular communication to gain information as part of ongoing research should not be counted as engagement.</w:t>
            </w:r>
          </w:p>
        </w:tc>
      </w:tr>
      <w:tr w:rsidR="00287418" w:rsidRPr="001F0F3F" w14:paraId="3953BEC7" w14:textId="77777777" w:rsidTr="00A31CE6">
        <w:tc>
          <w:tcPr>
            <w:tcW w:w="1206" w:type="pct"/>
            <w:tcBorders>
              <w:top w:val="single" w:sz="4" w:space="0" w:color="auto"/>
              <w:left w:val="nil"/>
              <w:bottom w:val="single" w:sz="4" w:space="0" w:color="auto"/>
              <w:right w:val="nil"/>
            </w:tcBorders>
          </w:tcPr>
          <w:p w14:paraId="0F8CBE44" w14:textId="77777777" w:rsidR="00287418" w:rsidRPr="00140254" w:rsidRDefault="00287418" w:rsidP="00287418">
            <w:pPr>
              <w:pStyle w:val="Tablecontent"/>
              <w:rPr>
                <w:sz w:val="18"/>
                <w:szCs w:val="18"/>
              </w:rPr>
            </w:pPr>
            <w:r>
              <w:rPr>
                <w:sz w:val="18"/>
                <w:szCs w:val="18"/>
              </w:rPr>
              <w:t>Number of companies engaged with over the year</w:t>
            </w:r>
          </w:p>
        </w:tc>
        <w:tc>
          <w:tcPr>
            <w:tcW w:w="969" w:type="pct"/>
            <w:gridSpan w:val="2"/>
            <w:tcBorders>
              <w:top w:val="single" w:sz="4" w:space="0" w:color="auto"/>
              <w:left w:val="nil"/>
              <w:bottom w:val="single" w:sz="4" w:space="0" w:color="auto"/>
              <w:right w:val="nil"/>
            </w:tcBorders>
          </w:tcPr>
          <w:p w14:paraId="256BDFEA" w14:textId="379C3C30" w:rsidR="00287418" w:rsidRPr="00483257" w:rsidRDefault="00287418" w:rsidP="00287418">
            <w:pPr>
              <w:pStyle w:val="Tablecontent"/>
              <w:rPr>
                <w:sz w:val="18"/>
                <w:szCs w:val="18"/>
              </w:rPr>
            </w:pPr>
            <w:r w:rsidRPr="00483257">
              <w:rPr>
                <w:sz w:val="18"/>
                <w:szCs w:val="18"/>
              </w:rPr>
              <w:t>191</w:t>
            </w:r>
          </w:p>
        </w:tc>
        <w:tc>
          <w:tcPr>
            <w:tcW w:w="969" w:type="pct"/>
            <w:tcBorders>
              <w:top w:val="single" w:sz="4" w:space="0" w:color="auto"/>
              <w:left w:val="nil"/>
              <w:bottom w:val="single" w:sz="4" w:space="0" w:color="auto"/>
              <w:right w:val="nil"/>
            </w:tcBorders>
          </w:tcPr>
          <w:p w14:paraId="3679EA1A" w14:textId="7FBDD16E" w:rsidR="00287418" w:rsidRPr="00483257" w:rsidRDefault="00287418" w:rsidP="00287418">
            <w:pPr>
              <w:pStyle w:val="Tablecontent"/>
              <w:rPr>
                <w:sz w:val="18"/>
                <w:szCs w:val="18"/>
              </w:rPr>
            </w:pPr>
            <w:r w:rsidRPr="00483257">
              <w:rPr>
                <w:sz w:val="18"/>
                <w:szCs w:val="18"/>
              </w:rPr>
              <w:t>37</w:t>
            </w:r>
            <w:r w:rsidR="00430A1A" w:rsidRPr="00483257">
              <w:rPr>
                <w:sz w:val="18"/>
                <w:szCs w:val="18"/>
              </w:rPr>
              <w:t>9</w:t>
            </w:r>
          </w:p>
        </w:tc>
        <w:tc>
          <w:tcPr>
            <w:tcW w:w="968" w:type="pct"/>
            <w:gridSpan w:val="2"/>
            <w:tcBorders>
              <w:top w:val="single" w:sz="4" w:space="0" w:color="auto"/>
              <w:left w:val="nil"/>
              <w:bottom w:val="single" w:sz="4" w:space="0" w:color="auto"/>
              <w:right w:val="nil"/>
            </w:tcBorders>
          </w:tcPr>
          <w:p w14:paraId="7E16B5F7" w14:textId="30185A8E" w:rsidR="00287418" w:rsidRPr="00483257" w:rsidRDefault="00287418" w:rsidP="00287418">
            <w:pPr>
              <w:pStyle w:val="Tablecontent"/>
              <w:rPr>
                <w:sz w:val="18"/>
                <w:szCs w:val="18"/>
              </w:rPr>
            </w:pPr>
            <w:r w:rsidRPr="00483257">
              <w:rPr>
                <w:sz w:val="18"/>
                <w:szCs w:val="18"/>
              </w:rPr>
              <w:t>37</w:t>
            </w:r>
            <w:r w:rsidR="00430A1A" w:rsidRPr="00483257">
              <w:rPr>
                <w:sz w:val="18"/>
                <w:szCs w:val="18"/>
              </w:rPr>
              <w:t>9</w:t>
            </w:r>
          </w:p>
        </w:tc>
        <w:tc>
          <w:tcPr>
            <w:tcW w:w="888" w:type="pct"/>
            <w:tcBorders>
              <w:top w:val="single" w:sz="4" w:space="0" w:color="auto"/>
              <w:left w:val="nil"/>
              <w:bottom w:val="single" w:sz="4" w:space="0" w:color="auto"/>
              <w:right w:val="nil"/>
            </w:tcBorders>
          </w:tcPr>
          <w:p w14:paraId="484FD2B8" w14:textId="3156BB26" w:rsidR="00287418" w:rsidRPr="00483257" w:rsidRDefault="00040DF5" w:rsidP="00287418">
            <w:pPr>
              <w:pStyle w:val="Tablecontent"/>
              <w:rPr>
                <w:sz w:val="18"/>
                <w:szCs w:val="18"/>
              </w:rPr>
            </w:pPr>
            <w:r w:rsidRPr="00483257">
              <w:rPr>
                <w:sz w:val="18"/>
                <w:szCs w:val="18"/>
              </w:rPr>
              <w:t>28</w:t>
            </w:r>
          </w:p>
        </w:tc>
      </w:tr>
      <w:tr w:rsidR="00287418" w:rsidRPr="001F0F3F" w14:paraId="131A202B" w14:textId="77777777" w:rsidTr="00A31CE6">
        <w:tc>
          <w:tcPr>
            <w:tcW w:w="1206" w:type="pct"/>
            <w:tcBorders>
              <w:top w:val="single" w:sz="4" w:space="0" w:color="auto"/>
              <w:left w:val="nil"/>
              <w:bottom w:val="single" w:sz="4" w:space="0" w:color="auto"/>
              <w:right w:val="nil"/>
            </w:tcBorders>
          </w:tcPr>
          <w:p w14:paraId="5CCA9B47" w14:textId="77777777" w:rsidR="00287418" w:rsidRPr="00140254" w:rsidRDefault="00287418" w:rsidP="00287418">
            <w:pPr>
              <w:pStyle w:val="Tablecontent"/>
              <w:rPr>
                <w:sz w:val="18"/>
                <w:szCs w:val="18"/>
              </w:rPr>
            </w:pPr>
            <w:r>
              <w:rPr>
                <w:sz w:val="18"/>
                <w:szCs w:val="18"/>
              </w:rPr>
              <w:t>Number of engagements over the year</w:t>
            </w:r>
          </w:p>
        </w:tc>
        <w:tc>
          <w:tcPr>
            <w:tcW w:w="969" w:type="pct"/>
            <w:gridSpan w:val="2"/>
            <w:tcBorders>
              <w:top w:val="single" w:sz="4" w:space="0" w:color="auto"/>
              <w:left w:val="nil"/>
              <w:bottom w:val="single" w:sz="4" w:space="0" w:color="auto"/>
              <w:right w:val="nil"/>
            </w:tcBorders>
          </w:tcPr>
          <w:p w14:paraId="63B3DB77" w14:textId="6756782B" w:rsidR="00287418" w:rsidRPr="00483257" w:rsidRDefault="00287418" w:rsidP="00287418">
            <w:pPr>
              <w:pStyle w:val="Tablecontent"/>
              <w:rPr>
                <w:sz w:val="18"/>
                <w:szCs w:val="18"/>
              </w:rPr>
            </w:pPr>
            <w:r w:rsidRPr="00483257">
              <w:rPr>
                <w:sz w:val="18"/>
                <w:szCs w:val="18"/>
              </w:rPr>
              <w:t>313</w:t>
            </w:r>
          </w:p>
        </w:tc>
        <w:tc>
          <w:tcPr>
            <w:tcW w:w="969" w:type="pct"/>
            <w:tcBorders>
              <w:top w:val="single" w:sz="4" w:space="0" w:color="auto"/>
              <w:left w:val="nil"/>
              <w:bottom w:val="single" w:sz="4" w:space="0" w:color="auto"/>
              <w:right w:val="nil"/>
            </w:tcBorders>
          </w:tcPr>
          <w:p w14:paraId="05F75AEC" w14:textId="7B4D01E1" w:rsidR="00287418" w:rsidRPr="00483257" w:rsidRDefault="00287418" w:rsidP="00287418">
            <w:pPr>
              <w:pStyle w:val="Tablecontent"/>
              <w:rPr>
                <w:sz w:val="18"/>
                <w:szCs w:val="18"/>
              </w:rPr>
            </w:pPr>
            <w:r w:rsidRPr="00483257">
              <w:rPr>
                <w:sz w:val="18"/>
                <w:szCs w:val="18"/>
              </w:rPr>
              <w:t>561</w:t>
            </w:r>
          </w:p>
        </w:tc>
        <w:tc>
          <w:tcPr>
            <w:tcW w:w="968" w:type="pct"/>
            <w:gridSpan w:val="2"/>
            <w:tcBorders>
              <w:top w:val="single" w:sz="4" w:space="0" w:color="auto"/>
              <w:left w:val="nil"/>
              <w:bottom w:val="single" w:sz="4" w:space="0" w:color="auto"/>
              <w:right w:val="nil"/>
            </w:tcBorders>
          </w:tcPr>
          <w:p w14:paraId="7D67B86B" w14:textId="544E0308" w:rsidR="00287418" w:rsidRPr="00483257" w:rsidRDefault="00287418" w:rsidP="00287418">
            <w:pPr>
              <w:pStyle w:val="Tablecontent"/>
              <w:rPr>
                <w:sz w:val="18"/>
                <w:szCs w:val="18"/>
              </w:rPr>
            </w:pPr>
            <w:r w:rsidRPr="00483257">
              <w:rPr>
                <w:sz w:val="18"/>
                <w:szCs w:val="18"/>
              </w:rPr>
              <w:t>561</w:t>
            </w:r>
          </w:p>
        </w:tc>
        <w:tc>
          <w:tcPr>
            <w:tcW w:w="888" w:type="pct"/>
            <w:tcBorders>
              <w:top w:val="single" w:sz="4" w:space="0" w:color="auto"/>
              <w:left w:val="nil"/>
              <w:bottom w:val="single" w:sz="4" w:space="0" w:color="auto"/>
              <w:right w:val="nil"/>
            </w:tcBorders>
          </w:tcPr>
          <w:p w14:paraId="0F1AD2EA" w14:textId="4FD73222" w:rsidR="00287418" w:rsidRPr="00483257" w:rsidRDefault="00040DF5" w:rsidP="00287418">
            <w:pPr>
              <w:pStyle w:val="Tablecontent"/>
              <w:rPr>
                <w:sz w:val="18"/>
                <w:szCs w:val="18"/>
              </w:rPr>
            </w:pPr>
            <w:r w:rsidRPr="00483257">
              <w:rPr>
                <w:sz w:val="18"/>
                <w:szCs w:val="18"/>
              </w:rPr>
              <w:t>62</w:t>
            </w:r>
          </w:p>
        </w:tc>
      </w:tr>
    </w:tbl>
    <w:p w14:paraId="0B5F2357" w14:textId="118C86D1" w:rsidR="00A94CAF" w:rsidRDefault="00A94CAF" w:rsidP="00A94CAF"/>
    <w:tbl>
      <w:tblPr>
        <w:tblStyle w:val="TableGrid"/>
        <w:tblpPr w:leftFromText="180" w:rightFromText="180" w:vertAnchor="text" w:horzAnchor="margin" w:tblpY="161"/>
        <w:tblW w:w="4112" w:type="pct"/>
        <w:tblInd w:w="0" w:type="dxa"/>
        <w:tblBorders>
          <w:top w:val="none" w:sz="0" w:space="0" w:color="auto"/>
          <w:bottom w:val="none" w:sz="0" w:space="0" w:color="auto"/>
          <w:insideH w:val="single" w:sz="4" w:space="0" w:color="auto"/>
        </w:tblBorders>
        <w:tblLook w:val="0620" w:firstRow="1" w:lastRow="0" w:firstColumn="0" w:lastColumn="0" w:noHBand="1" w:noVBand="1"/>
      </w:tblPr>
      <w:tblGrid>
        <w:gridCol w:w="2264"/>
        <w:gridCol w:w="1789"/>
        <w:gridCol w:w="31"/>
        <w:gridCol w:w="1818"/>
        <w:gridCol w:w="150"/>
        <w:gridCol w:w="1665"/>
      </w:tblGrid>
      <w:tr w:rsidR="00040DF5" w:rsidRPr="00140254" w14:paraId="758E7C10" w14:textId="77777777" w:rsidTr="00483257">
        <w:trPr>
          <w:cnfStyle w:val="100000000000" w:firstRow="1" w:lastRow="0" w:firstColumn="0" w:lastColumn="0" w:oddVBand="0" w:evenVBand="0" w:oddHBand="0" w:evenHBand="0" w:firstRowFirstColumn="0" w:firstRowLastColumn="0" w:lastRowFirstColumn="0" w:lastRowLastColumn="0"/>
          <w:trHeight w:val="354"/>
        </w:trPr>
        <w:tc>
          <w:tcPr>
            <w:tcW w:w="5000" w:type="pct"/>
            <w:gridSpan w:val="6"/>
            <w:tcBorders>
              <w:left w:val="nil"/>
              <w:bottom w:val="single" w:sz="4" w:space="0" w:color="auto"/>
              <w:right w:val="nil"/>
            </w:tcBorders>
            <w:shd w:val="clear" w:color="auto" w:fill="000000" w:themeFill="text1"/>
          </w:tcPr>
          <w:p w14:paraId="13DCB824" w14:textId="77777777" w:rsidR="00040DF5" w:rsidRPr="00A31CE6" w:rsidRDefault="00040DF5" w:rsidP="00286A4F">
            <w:pPr>
              <w:pStyle w:val="TableHeaders"/>
              <w:keepNext/>
              <w:rPr>
                <w:b/>
                <w:bCs/>
                <w:sz w:val="18"/>
                <w:szCs w:val="18"/>
                <w:lang w:val="en-GB"/>
              </w:rPr>
            </w:pPr>
            <w:r w:rsidRPr="00A31CE6">
              <w:rPr>
                <w:sz w:val="22"/>
                <w:szCs w:val="18"/>
                <w:lang w:val="en-GB"/>
              </w:rPr>
              <w:t>Engagement</w:t>
            </w:r>
          </w:p>
        </w:tc>
      </w:tr>
      <w:tr w:rsidR="00040DF5" w:rsidRPr="00140254" w14:paraId="503BC8C8" w14:textId="77777777" w:rsidTr="00483257">
        <w:tc>
          <w:tcPr>
            <w:tcW w:w="1467" w:type="pct"/>
            <w:tcBorders>
              <w:left w:val="nil"/>
              <w:bottom w:val="single" w:sz="4" w:space="0" w:color="auto"/>
              <w:right w:val="nil"/>
            </w:tcBorders>
            <w:shd w:val="clear" w:color="auto" w:fill="000000" w:themeFill="text1"/>
            <w:hideMark/>
          </w:tcPr>
          <w:p w14:paraId="763A7336" w14:textId="77777777" w:rsidR="00040DF5" w:rsidRPr="00140254" w:rsidRDefault="00040DF5" w:rsidP="00040DF5">
            <w:pPr>
              <w:pStyle w:val="TableHeaders"/>
              <w:rPr>
                <w:b w:val="0"/>
                <w:bCs w:val="0"/>
                <w:sz w:val="18"/>
                <w:szCs w:val="18"/>
                <w:lang w:val="en-GB"/>
              </w:rPr>
            </w:pPr>
          </w:p>
        </w:tc>
        <w:tc>
          <w:tcPr>
            <w:tcW w:w="1159" w:type="pct"/>
            <w:tcBorders>
              <w:left w:val="nil"/>
              <w:bottom w:val="single" w:sz="4" w:space="0" w:color="auto"/>
              <w:right w:val="nil"/>
            </w:tcBorders>
            <w:shd w:val="clear" w:color="auto" w:fill="000000" w:themeFill="text1"/>
          </w:tcPr>
          <w:p w14:paraId="3B62D322" w14:textId="7BC23764" w:rsidR="00040DF5" w:rsidRPr="00140254" w:rsidRDefault="00040DF5" w:rsidP="00040DF5">
            <w:pPr>
              <w:pStyle w:val="TableHeaders"/>
              <w:rPr>
                <w:b w:val="0"/>
                <w:sz w:val="18"/>
                <w:szCs w:val="18"/>
                <w:lang w:val="en-GB"/>
              </w:rPr>
            </w:pPr>
            <w:r>
              <w:rPr>
                <w:sz w:val="18"/>
                <w:szCs w:val="18"/>
              </w:rPr>
              <w:t>LGIM Maturing B&amp;M Credit 2025-2029</w:t>
            </w:r>
          </w:p>
        </w:tc>
        <w:tc>
          <w:tcPr>
            <w:tcW w:w="1295" w:type="pct"/>
            <w:gridSpan w:val="3"/>
            <w:tcBorders>
              <w:left w:val="nil"/>
              <w:bottom w:val="single" w:sz="4" w:space="0" w:color="auto"/>
              <w:right w:val="nil"/>
            </w:tcBorders>
            <w:shd w:val="clear" w:color="auto" w:fill="000000" w:themeFill="text1"/>
            <w:hideMark/>
          </w:tcPr>
          <w:p w14:paraId="594A8436" w14:textId="38573AB1" w:rsidR="00040DF5" w:rsidRPr="00140254" w:rsidRDefault="00040DF5" w:rsidP="00040DF5">
            <w:pPr>
              <w:pStyle w:val="TableHeaders"/>
              <w:rPr>
                <w:b w:val="0"/>
                <w:bCs w:val="0"/>
                <w:sz w:val="18"/>
                <w:szCs w:val="18"/>
                <w:lang w:val="en-GB"/>
              </w:rPr>
            </w:pPr>
            <w:r>
              <w:rPr>
                <w:sz w:val="18"/>
                <w:szCs w:val="18"/>
              </w:rPr>
              <w:t>LGIM Maturing B&amp;M Credit 2030-2034</w:t>
            </w:r>
          </w:p>
        </w:tc>
        <w:tc>
          <w:tcPr>
            <w:tcW w:w="1079" w:type="pct"/>
            <w:tcBorders>
              <w:left w:val="nil"/>
              <w:bottom w:val="single" w:sz="4" w:space="0" w:color="auto"/>
              <w:right w:val="nil"/>
            </w:tcBorders>
            <w:shd w:val="clear" w:color="auto" w:fill="000000" w:themeFill="text1"/>
          </w:tcPr>
          <w:p w14:paraId="1ABEE2B0" w14:textId="33714C0D" w:rsidR="00040DF5" w:rsidRPr="00140254" w:rsidRDefault="00040DF5" w:rsidP="00040DF5">
            <w:pPr>
              <w:pStyle w:val="TableHeaders"/>
              <w:rPr>
                <w:b w:val="0"/>
                <w:bCs w:val="0"/>
                <w:sz w:val="18"/>
                <w:szCs w:val="18"/>
                <w:lang w:val="en-GB"/>
              </w:rPr>
            </w:pPr>
            <w:r>
              <w:rPr>
                <w:sz w:val="18"/>
                <w:szCs w:val="18"/>
              </w:rPr>
              <w:t>LGIM Maturing B&amp;M Credit 2035-2039</w:t>
            </w:r>
          </w:p>
        </w:tc>
      </w:tr>
      <w:tr w:rsidR="00040DF5" w:rsidRPr="007B5503" w14:paraId="3CF3947D" w14:textId="77777777" w:rsidTr="00483257">
        <w:tc>
          <w:tcPr>
            <w:tcW w:w="1467" w:type="pct"/>
            <w:tcBorders>
              <w:top w:val="single" w:sz="4" w:space="0" w:color="auto"/>
              <w:left w:val="nil"/>
              <w:bottom w:val="single" w:sz="4" w:space="0" w:color="auto"/>
              <w:right w:val="nil"/>
            </w:tcBorders>
          </w:tcPr>
          <w:p w14:paraId="20928763" w14:textId="77777777" w:rsidR="00040DF5" w:rsidRDefault="00040DF5" w:rsidP="00286A4F">
            <w:pPr>
              <w:pStyle w:val="Tablecontent"/>
              <w:rPr>
                <w:sz w:val="18"/>
                <w:szCs w:val="18"/>
              </w:rPr>
            </w:pPr>
            <w:r>
              <w:rPr>
                <w:sz w:val="18"/>
                <w:szCs w:val="18"/>
              </w:rPr>
              <w:t>Period</w:t>
            </w:r>
          </w:p>
        </w:tc>
        <w:tc>
          <w:tcPr>
            <w:tcW w:w="1179" w:type="pct"/>
            <w:gridSpan w:val="2"/>
            <w:tcBorders>
              <w:top w:val="single" w:sz="4" w:space="0" w:color="auto"/>
              <w:left w:val="nil"/>
              <w:bottom w:val="single" w:sz="4" w:space="0" w:color="auto"/>
              <w:right w:val="nil"/>
            </w:tcBorders>
          </w:tcPr>
          <w:p w14:paraId="30609591" w14:textId="77777777" w:rsidR="00040DF5" w:rsidRPr="00483257" w:rsidRDefault="00040DF5" w:rsidP="00286A4F">
            <w:pPr>
              <w:pStyle w:val="Tablecontent"/>
              <w:rPr>
                <w:sz w:val="18"/>
                <w:szCs w:val="18"/>
              </w:rPr>
            </w:pPr>
            <w:r w:rsidRPr="00483257">
              <w:rPr>
                <w:sz w:val="18"/>
                <w:szCs w:val="18"/>
              </w:rPr>
              <w:t>01/04/2023-31/03/2024</w:t>
            </w:r>
          </w:p>
        </w:tc>
        <w:tc>
          <w:tcPr>
            <w:tcW w:w="1178" w:type="pct"/>
            <w:tcBorders>
              <w:top w:val="single" w:sz="4" w:space="0" w:color="auto"/>
              <w:left w:val="nil"/>
              <w:bottom w:val="single" w:sz="4" w:space="0" w:color="auto"/>
              <w:right w:val="nil"/>
            </w:tcBorders>
          </w:tcPr>
          <w:p w14:paraId="0456A2C9" w14:textId="77777777" w:rsidR="00040DF5" w:rsidRPr="00483257" w:rsidDel="00D02C52" w:rsidRDefault="00040DF5" w:rsidP="00286A4F">
            <w:pPr>
              <w:pStyle w:val="Tablecontent"/>
              <w:rPr>
                <w:sz w:val="18"/>
                <w:szCs w:val="18"/>
              </w:rPr>
            </w:pPr>
            <w:r w:rsidRPr="00483257">
              <w:rPr>
                <w:sz w:val="18"/>
                <w:szCs w:val="18"/>
              </w:rPr>
              <w:t>01/04/2023-31/03/2024</w:t>
            </w:r>
          </w:p>
        </w:tc>
        <w:tc>
          <w:tcPr>
            <w:tcW w:w="1176" w:type="pct"/>
            <w:gridSpan w:val="2"/>
            <w:tcBorders>
              <w:top w:val="single" w:sz="4" w:space="0" w:color="auto"/>
              <w:left w:val="nil"/>
              <w:bottom w:val="single" w:sz="4" w:space="0" w:color="auto"/>
              <w:right w:val="nil"/>
            </w:tcBorders>
          </w:tcPr>
          <w:p w14:paraId="0AAFBAF6" w14:textId="77777777" w:rsidR="00040DF5" w:rsidRPr="00483257" w:rsidRDefault="00040DF5" w:rsidP="00286A4F">
            <w:pPr>
              <w:pStyle w:val="Tablecontent"/>
              <w:rPr>
                <w:sz w:val="18"/>
                <w:szCs w:val="18"/>
              </w:rPr>
            </w:pPr>
            <w:r w:rsidRPr="00483257">
              <w:rPr>
                <w:sz w:val="18"/>
                <w:szCs w:val="18"/>
              </w:rPr>
              <w:t>01/04/2023-31/03/2024</w:t>
            </w:r>
          </w:p>
        </w:tc>
      </w:tr>
      <w:tr w:rsidR="00040DF5" w:rsidRPr="007B5503" w14:paraId="3B1B96EE" w14:textId="77777777" w:rsidTr="00040DF5">
        <w:tc>
          <w:tcPr>
            <w:tcW w:w="1467" w:type="pct"/>
            <w:tcBorders>
              <w:top w:val="single" w:sz="4" w:space="0" w:color="auto"/>
              <w:left w:val="nil"/>
              <w:bottom w:val="single" w:sz="4" w:space="0" w:color="auto"/>
              <w:right w:val="nil"/>
            </w:tcBorders>
          </w:tcPr>
          <w:p w14:paraId="586BC058" w14:textId="71BDD3F4" w:rsidR="00040DF5" w:rsidRDefault="00040DF5" w:rsidP="00040DF5">
            <w:pPr>
              <w:pStyle w:val="Tablecontent"/>
              <w:rPr>
                <w:sz w:val="18"/>
                <w:szCs w:val="18"/>
              </w:rPr>
            </w:pPr>
            <w:r w:rsidRPr="00777C03">
              <w:rPr>
                <w:sz w:val="18"/>
                <w:szCs w:val="18"/>
              </w:rPr>
              <w:t>Engagement definition</w:t>
            </w:r>
          </w:p>
        </w:tc>
        <w:tc>
          <w:tcPr>
            <w:tcW w:w="3533" w:type="pct"/>
            <w:gridSpan w:val="5"/>
            <w:tcBorders>
              <w:top w:val="single" w:sz="4" w:space="0" w:color="auto"/>
              <w:left w:val="nil"/>
              <w:bottom w:val="single" w:sz="4" w:space="0" w:color="auto"/>
              <w:right w:val="nil"/>
            </w:tcBorders>
          </w:tcPr>
          <w:p w14:paraId="2F466849" w14:textId="1A79250A" w:rsidR="00040DF5" w:rsidRPr="00483257" w:rsidRDefault="00040DF5" w:rsidP="00040DF5">
            <w:pPr>
              <w:pStyle w:val="Tablecontent"/>
              <w:rPr>
                <w:sz w:val="18"/>
                <w:szCs w:val="18"/>
              </w:rPr>
            </w:pPr>
            <w:r w:rsidRPr="00483257">
              <w:rPr>
                <w:sz w:val="18"/>
                <w:szCs w:val="18"/>
              </w:rPr>
              <w:t xml:space="preserve">Purposeful, targeted communication with an entity (e.g. company, government, industry body, regulator) on </w:t>
            </w:r>
            <w:proofErr w:type="gramStart"/>
            <w:r w:rsidRPr="00483257">
              <w:rPr>
                <w:sz w:val="18"/>
                <w:szCs w:val="18"/>
              </w:rPr>
              <w:t>particular matters</w:t>
            </w:r>
            <w:proofErr w:type="gramEnd"/>
            <w:r w:rsidRPr="00483257">
              <w:rPr>
                <w:sz w:val="18"/>
                <w:szCs w:val="18"/>
              </w:rPr>
              <w:t xml:space="preserve"> of concern with the goal of encouraging change at an individual issuer and/or the goal of addressing a market-wide or system risk (such as climate). Regular communication to gain information as part of ongoing research should not be counted as engagement.</w:t>
            </w:r>
          </w:p>
        </w:tc>
      </w:tr>
      <w:tr w:rsidR="00040DF5" w:rsidRPr="001F0F3F" w14:paraId="273CCCF1" w14:textId="77777777" w:rsidTr="00483257">
        <w:tc>
          <w:tcPr>
            <w:tcW w:w="1467" w:type="pct"/>
            <w:tcBorders>
              <w:top w:val="single" w:sz="4" w:space="0" w:color="auto"/>
              <w:left w:val="nil"/>
              <w:bottom w:val="single" w:sz="4" w:space="0" w:color="auto"/>
              <w:right w:val="nil"/>
            </w:tcBorders>
          </w:tcPr>
          <w:p w14:paraId="0FC1EE76" w14:textId="77777777" w:rsidR="00040DF5" w:rsidRPr="00140254" w:rsidRDefault="00040DF5" w:rsidP="00040DF5">
            <w:pPr>
              <w:pStyle w:val="Tablecontent"/>
              <w:rPr>
                <w:sz w:val="18"/>
                <w:szCs w:val="18"/>
              </w:rPr>
            </w:pPr>
            <w:r>
              <w:rPr>
                <w:sz w:val="18"/>
                <w:szCs w:val="18"/>
              </w:rPr>
              <w:lastRenderedPageBreak/>
              <w:t>Number of companies engaged with over the year</w:t>
            </w:r>
          </w:p>
        </w:tc>
        <w:tc>
          <w:tcPr>
            <w:tcW w:w="1179" w:type="pct"/>
            <w:gridSpan w:val="2"/>
            <w:tcBorders>
              <w:top w:val="single" w:sz="4" w:space="0" w:color="auto"/>
              <w:left w:val="nil"/>
              <w:bottom w:val="single" w:sz="4" w:space="0" w:color="auto"/>
              <w:right w:val="nil"/>
            </w:tcBorders>
          </w:tcPr>
          <w:p w14:paraId="1DE5E2FC" w14:textId="77E8F9C1" w:rsidR="00040DF5" w:rsidRPr="00483257" w:rsidRDefault="00040DF5" w:rsidP="00040DF5">
            <w:pPr>
              <w:pStyle w:val="Tablecontent"/>
              <w:rPr>
                <w:sz w:val="18"/>
                <w:szCs w:val="18"/>
              </w:rPr>
            </w:pPr>
            <w:r w:rsidRPr="00483257">
              <w:rPr>
                <w:sz w:val="18"/>
                <w:szCs w:val="18"/>
              </w:rPr>
              <w:t>72</w:t>
            </w:r>
          </w:p>
        </w:tc>
        <w:tc>
          <w:tcPr>
            <w:tcW w:w="1178" w:type="pct"/>
            <w:tcBorders>
              <w:top w:val="single" w:sz="4" w:space="0" w:color="auto"/>
              <w:left w:val="nil"/>
              <w:bottom w:val="single" w:sz="4" w:space="0" w:color="auto"/>
              <w:right w:val="nil"/>
            </w:tcBorders>
          </w:tcPr>
          <w:p w14:paraId="1741A747" w14:textId="2A2A2BE5" w:rsidR="00040DF5" w:rsidRPr="00483257" w:rsidRDefault="00040DF5" w:rsidP="00040DF5">
            <w:pPr>
              <w:pStyle w:val="Tablecontent"/>
              <w:rPr>
                <w:sz w:val="18"/>
                <w:szCs w:val="18"/>
              </w:rPr>
            </w:pPr>
            <w:r w:rsidRPr="00483257">
              <w:rPr>
                <w:sz w:val="18"/>
                <w:szCs w:val="18"/>
              </w:rPr>
              <w:t>66</w:t>
            </w:r>
          </w:p>
        </w:tc>
        <w:tc>
          <w:tcPr>
            <w:tcW w:w="1176" w:type="pct"/>
            <w:gridSpan w:val="2"/>
            <w:tcBorders>
              <w:top w:val="single" w:sz="4" w:space="0" w:color="auto"/>
              <w:left w:val="nil"/>
              <w:bottom w:val="single" w:sz="4" w:space="0" w:color="auto"/>
              <w:right w:val="nil"/>
            </w:tcBorders>
          </w:tcPr>
          <w:p w14:paraId="4CBB1E71" w14:textId="75E5BB86" w:rsidR="00040DF5" w:rsidRPr="00483257" w:rsidRDefault="00040DF5" w:rsidP="00040DF5">
            <w:pPr>
              <w:pStyle w:val="Tablecontent"/>
              <w:rPr>
                <w:sz w:val="18"/>
                <w:szCs w:val="18"/>
              </w:rPr>
            </w:pPr>
            <w:r w:rsidRPr="00483257">
              <w:rPr>
                <w:sz w:val="18"/>
                <w:szCs w:val="18"/>
              </w:rPr>
              <w:t>43</w:t>
            </w:r>
          </w:p>
        </w:tc>
      </w:tr>
      <w:tr w:rsidR="00040DF5" w:rsidRPr="001F0F3F" w14:paraId="66FFEDCD" w14:textId="77777777" w:rsidTr="00483257">
        <w:tc>
          <w:tcPr>
            <w:tcW w:w="1467" w:type="pct"/>
            <w:tcBorders>
              <w:top w:val="single" w:sz="4" w:space="0" w:color="auto"/>
              <w:left w:val="nil"/>
              <w:bottom w:val="single" w:sz="4" w:space="0" w:color="auto"/>
              <w:right w:val="nil"/>
            </w:tcBorders>
          </w:tcPr>
          <w:p w14:paraId="628EFB30" w14:textId="77777777" w:rsidR="00040DF5" w:rsidRPr="00140254" w:rsidRDefault="00040DF5" w:rsidP="00040DF5">
            <w:pPr>
              <w:pStyle w:val="Tablecontent"/>
              <w:rPr>
                <w:sz w:val="18"/>
                <w:szCs w:val="18"/>
              </w:rPr>
            </w:pPr>
            <w:r>
              <w:rPr>
                <w:sz w:val="18"/>
                <w:szCs w:val="18"/>
              </w:rPr>
              <w:t>Number of engagements over the year</w:t>
            </w:r>
          </w:p>
        </w:tc>
        <w:tc>
          <w:tcPr>
            <w:tcW w:w="1179" w:type="pct"/>
            <w:gridSpan w:val="2"/>
            <w:tcBorders>
              <w:top w:val="single" w:sz="4" w:space="0" w:color="auto"/>
              <w:left w:val="nil"/>
              <w:bottom w:val="single" w:sz="4" w:space="0" w:color="auto"/>
              <w:right w:val="nil"/>
            </w:tcBorders>
          </w:tcPr>
          <w:p w14:paraId="22473EC6" w14:textId="1FC18B8F" w:rsidR="00040DF5" w:rsidRPr="00483257" w:rsidRDefault="00040DF5" w:rsidP="00040DF5">
            <w:pPr>
              <w:pStyle w:val="Tablecontent"/>
              <w:rPr>
                <w:sz w:val="18"/>
                <w:szCs w:val="18"/>
              </w:rPr>
            </w:pPr>
            <w:r w:rsidRPr="00483257">
              <w:rPr>
                <w:sz w:val="18"/>
                <w:szCs w:val="18"/>
              </w:rPr>
              <w:t>152</w:t>
            </w:r>
          </w:p>
        </w:tc>
        <w:tc>
          <w:tcPr>
            <w:tcW w:w="1178" w:type="pct"/>
            <w:tcBorders>
              <w:top w:val="single" w:sz="4" w:space="0" w:color="auto"/>
              <w:left w:val="nil"/>
              <w:bottom w:val="single" w:sz="4" w:space="0" w:color="auto"/>
              <w:right w:val="nil"/>
            </w:tcBorders>
          </w:tcPr>
          <w:p w14:paraId="223FFFB5" w14:textId="1337A865" w:rsidR="00040DF5" w:rsidRPr="00483257" w:rsidRDefault="00040DF5" w:rsidP="00040DF5">
            <w:pPr>
              <w:pStyle w:val="Tablecontent"/>
              <w:rPr>
                <w:sz w:val="18"/>
                <w:szCs w:val="18"/>
              </w:rPr>
            </w:pPr>
            <w:r w:rsidRPr="00483257">
              <w:rPr>
                <w:sz w:val="18"/>
                <w:szCs w:val="18"/>
              </w:rPr>
              <w:t>118</w:t>
            </w:r>
          </w:p>
        </w:tc>
        <w:tc>
          <w:tcPr>
            <w:tcW w:w="1176" w:type="pct"/>
            <w:gridSpan w:val="2"/>
            <w:tcBorders>
              <w:top w:val="single" w:sz="4" w:space="0" w:color="auto"/>
              <w:left w:val="nil"/>
              <w:bottom w:val="single" w:sz="4" w:space="0" w:color="auto"/>
              <w:right w:val="nil"/>
            </w:tcBorders>
          </w:tcPr>
          <w:p w14:paraId="0C418B10" w14:textId="6F0E4BF2" w:rsidR="00040DF5" w:rsidRPr="00483257" w:rsidRDefault="00040DF5" w:rsidP="00040DF5">
            <w:pPr>
              <w:pStyle w:val="Tablecontent"/>
              <w:rPr>
                <w:sz w:val="18"/>
                <w:szCs w:val="18"/>
              </w:rPr>
            </w:pPr>
            <w:r w:rsidRPr="00483257">
              <w:rPr>
                <w:sz w:val="18"/>
                <w:szCs w:val="18"/>
              </w:rPr>
              <w:t>82</w:t>
            </w:r>
          </w:p>
        </w:tc>
      </w:tr>
    </w:tbl>
    <w:p w14:paraId="4E09FAC7" w14:textId="77777777" w:rsidR="00040DF5" w:rsidRDefault="00040DF5" w:rsidP="00A94CAF"/>
    <w:p w14:paraId="4CADEBC6" w14:textId="77777777" w:rsidR="00040DF5" w:rsidRDefault="00040DF5" w:rsidP="004479CD">
      <w:pPr>
        <w:keepNext/>
        <w:rPr>
          <w:b/>
        </w:rPr>
      </w:pPr>
    </w:p>
    <w:p w14:paraId="37ACE3F1" w14:textId="77777777" w:rsidR="00040DF5" w:rsidRDefault="00040DF5" w:rsidP="004479CD">
      <w:pPr>
        <w:keepNext/>
        <w:rPr>
          <w:b/>
        </w:rPr>
      </w:pPr>
    </w:p>
    <w:p w14:paraId="0D236614" w14:textId="77777777" w:rsidR="00040DF5" w:rsidRDefault="00040DF5" w:rsidP="004479CD">
      <w:pPr>
        <w:keepNext/>
        <w:rPr>
          <w:b/>
        </w:rPr>
      </w:pPr>
    </w:p>
    <w:p w14:paraId="2AD0D55C" w14:textId="77777777" w:rsidR="00040DF5" w:rsidRDefault="00040DF5" w:rsidP="004479CD">
      <w:pPr>
        <w:keepNext/>
        <w:rPr>
          <w:b/>
        </w:rPr>
      </w:pPr>
    </w:p>
    <w:p w14:paraId="3A97CC6F" w14:textId="77777777" w:rsidR="00040DF5" w:rsidRDefault="00040DF5" w:rsidP="004479CD">
      <w:pPr>
        <w:keepNext/>
        <w:rPr>
          <w:b/>
        </w:rPr>
      </w:pPr>
    </w:p>
    <w:p w14:paraId="63913EAD" w14:textId="77777777" w:rsidR="00040DF5" w:rsidRDefault="00040DF5" w:rsidP="004479CD">
      <w:pPr>
        <w:keepNext/>
        <w:rPr>
          <w:b/>
        </w:rPr>
      </w:pPr>
    </w:p>
    <w:p w14:paraId="538D5703" w14:textId="77777777" w:rsidR="00040DF5" w:rsidRDefault="00040DF5" w:rsidP="004479CD">
      <w:pPr>
        <w:keepNext/>
        <w:rPr>
          <w:b/>
        </w:rPr>
      </w:pPr>
    </w:p>
    <w:p w14:paraId="410CD1F9" w14:textId="77777777" w:rsidR="00040DF5" w:rsidRDefault="00040DF5" w:rsidP="004479CD">
      <w:pPr>
        <w:keepNext/>
        <w:rPr>
          <w:b/>
        </w:rPr>
      </w:pPr>
    </w:p>
    <w:p w14:paraId="3B9C7490" w14:textId="77777777" w:rsidR="00040DF5" w:rsidRDefault="00040DF5" w:rsidP="004479CD">
      <w:pPr>
        <w:keepNext/>
        <w:rPr>
          <w:b/>
        </w:rPr>
      </w:pPr>
    </w:p>
    <w:p w14:paraId="0D4BCAA0" w14:textId="77777777" w:rsidR="00040DF5" w:rsidRDefault="00040DF5" w:rsidP="004479CD">
      <w:pPr>
        <w:keepNext/>
        <w:rPr>
          <w:b/>
        </w:rPr>
      </w:pPr>
    </w:p>
    <w:p w14:paraId="3C1DDA9F" w14:textId="77777777" w:rsidR="00040DF5" w:rsidRDefault="00040DF5" w:rsidP="004479CD">
      <w:pPr>
        <w:keepNext/>
        <w:rPr>
          <w:b/>
        </w:rPr>
      </w:pPr>
    </w:p>
    <w:p w14:paraId="750DC004" w14:textId="3CFC74E9" w:rsidR="006C0C4E" w:rsidRDefault="006C0C4E" w:rsidP="004479CD">
      <w:pPr>
        <w:keepNext/>
        <w:rPr>
          <w:b/>
        </w:rPr>
      </w:pPr>
      <w:r w:rsidRPr="006C0C4E">
        <w:rPr>
          <w:b/>
        </w:rPr>
        <w:t xml:space="preserve">Exercising </w:t>
      </w:r>
      <w:r w:rsidR="00165045">
        <w:rPr>
          <w:b/>
        </w:rPr>
        <w:t>r</w:t>
      </w:r>
      <w:r w:rsidRPr="006C0C4E">
        <w:rPr>
          <w:b/>
        </w:rPr>
        <w:t xml:space="preserve">ights and </w:t>
      </w:r>
      <w:r w:rsidR="00165045">
        <w:rPr>
          <w:b/>
        </w:rPr>
        <w:t>r</w:t>
      </w:r>
      <w:r w:rsidRPr="006C0C4E">
        <w:rPr>
          <w:b/>
        </w:rPr>
        <w:t>esponsibilities</w:t>
      </w:r>
    </w:p>
    <w:p w14:paraId="3DFBD6B0" w14:textId="585D140D" w:rsidR="00722A2E" w:rsidRDefault="00722A2E" w:rsidP="00722A2E">
      <w:r>
        <w:t xml:space="preserve">The </w:t>
      </w:r>
      <w:r w:rsidR="004D0172">
        <w:t>investment</w:t>
      </w:r>
      <w:r>
        <w:t xml:space="preserve"> manager </w:t>
      </w:r>
      <w:r w:rsidR="00C12823">
        <w:t xml:space="preserve">is </w:t>
      </w:r>
      <w:r>
        <w:t xml:space="preserve">expected to disclose annually a general description of their voting behaviour, an explanation of the most significant votes </w:t>
      </w:r>
      <w:r w:rsidR="00B9410A">
        <w:t xml:space="preserve">cast </w:t>
      </w:r>
      <w:r>
        <w:t xml:space="preserve">and report on the use of proxy </w:t>
      </w:r>
      <w:r w:rsidR="00B9410A">
        <w:t xml:space="preserve">voting </w:t>
      </w:r>
      <w:r>
        <w:t>advisers</w:t>
      </w:r>
      <w:r w:rsidRPr="00945AE2">
        <w:t>.</w:t>
      </w:r>
      <w:r w:rsidR="00175EBC">
        <w:t xml:space="preserve"> </w:t>
      </w:r>
    </w:p>
    <w:p w14:paraId="5B3AEE2F" w14:textId="4B8A47E4" w:rsidR="007F3451" w:rsidRDefault="007F3451" w:rsidP="007F3451">
      <w:r>
        <w:t>The Trustees have been provided with details of what the investment manager considers to be the most significant votes. The Trustees have not influenced the manager’s definitions of significant votes but have reviewed these and are satisfied that they are all reasonable and appropriate.</w:t>
      </w:r>
    </w:p>
    <w:p w14:paraId="5A42FD46" w14:textId="571CB307" w:rsidR="007F3451" w:rsidRDefault="007F3451" w:rsidP="007F3451">
      <w:r>
        <w:t>The Trustees have selected the three votes affecting the largest asset holdings for inclusion in this statement.</w:t>
      </w:r>
      <w:r w:rsidR="001740DD">
        <w:t xml:space="preserve"> </w:t>
      </w:r>
      <w:r>
        <w:t>The Trustees did not communicate with the manager in advance about the votes they considered to be the most significant.</w:t>
      </w:r>
    </w:p>
    <w:p w14:paraId="7E053F3F" w14:textId="1DFDD827" w:rsidR="00554CEC" w:rsidRDefault="00554CEC" w:rsidP="004357BE">
      <w:r w:rsidRPr="00945AE2">
        <w:t xml:space="preserve">The investment manager </w:t>
      </w:r>
      <w:r w:rsidR="00A67858">
        <w:t>publish</w:t>
      </w:r>
      <w:r w:rsidR="004F6F12">
        <w:t>es</w:t>
      </w:r>
      <w:r w:rsidR="00A67858">
        <w:t xml:space="preserve"> </w:t>
      </w:r>
      <w:r w:rsidR="006821B9" w:rsidRPr="00945AE2">
        <w:t>online</w:t>
      </w:r>
      <w:r w:rsidR="001E6C56" w:rsidRPr="00945AE2">
        <w:t xml:space="preserve"> the overall voting records of the firm on a </w:t>
      </w:r>
      <w:r w:rsidR="006821B9" w:rsidRPr="00945AE2">
        <w:t>regular</w:t>
      </w:r>
      <w:r w:rsidR="001E6C56" w:rsidRPr="00945AE2">
        <w:t xml:space="preserve"> basis</w:t>
      </w:r>
      <w:r w:rsidR="006821B9" w:rsidRPr="00945AE2">
        <w:t>.</w:t>
      </w:r>
    </w:p>
    <w:p w14:paraId="5668CF99" w14:textId="2E5A1CD2" w:rsidR="00E60AA3" w:rsidRPr="00945AE2" w:rsidRDefault="00C12823" w:rsidP="004357BE">
      <w:r>
        <w:t>The</w:t>
      </w:r>
      <w:r w:rsidR="0044681C">
        <w:t xml:space="preserve"> </w:t>
      </w:r>
      <w:r w:rsidR="00F77385">
        <w:t xml:space="preserve">investment </w:t>
      </w:r>
      <w:r w:rsidR="0044681C">
        <w:t>manager use</w:t>
      </w:r>
      <w:r w:rsidR="004F6F12">
        <w:t>s</w:t>
      </w:r>
      <w:r w:rsidR="0044681C">
        <w:t xml:space="preserve"> proxy advis</w:t>
      </w:r>
      <w:r w:rsidR="009A74F2">
        <w:t>e</w:t>
      </w:r>
      <w:r w:rsidR="0044681C">
        <w:t>rs for the purposes of providing research, advice or voting recommendations that relate to the exercise of voting rights.</w:t>
      </w:r>
    </w:p>
    <w:p w14:paraId="47E71108" w14:textId="430A8C95" w:rsidR="00443D11" w:rsidRDefault="006821B9" w:rsidP="004357BE">
      <w:r w:rsidRPr="00945AE2">
        <w:t xml:space="preserve">The Trustees </w:t>
      </w:r>
      <w:r w:rsidR="00E60AA3">
        <w:t xml:space="preserve">do not carry out a detailed </w:t>
      </w:r>
      <w:r w:rsidRPr="00945AE2">
        <w:t xml:space="preserve">review </w:t>
      </w:r>
      <w:r w:rsidR="00E60AA3">
        <w:t xml:space="preserve">of </w:t>
      </w:r>
      <w:r w:rsidRPr="00945AE2">
        <w:t>the vot</w:t>
      </w:r>
      <w:r w:rsidR="00E60AA3">
        <w:t xml:space="preserve">es cast by or on behalf of </w:t>
      </w:r>
      <w:r w:rsidR="002E530F">
        <w:t>t</w:t>
      </w:r>
      <w:r w:rsidR="00E60AA3">
        <w:t xml:space="preserve">heir </w:t>
      </w:r>
      <w:r w:rsidR="00E046B9">
        <w:t>investment</w:t>
      </w:r>
      <w:r w:rsidR="00E60AA3">
        <w:t xml:space="preserve"> manager but </w:t>
      </w:r>
      <w:r w:rsidR="00F83829">
        <w:t xml:space="preserve">rely on the requirement for their </w:t>
      </w:r>
      <w:r w:rsidR="00E046B9">
        <w:t xml:space="preserve">investment </w:t>
      </w:r>
      <w:r w:rsidR="00F83829">
        <w:t xml:space="preserve">manager to provide a </w:t>
      </w:r>
      <w:r w:rsidR="00E60AA3">
        <w:t>high</w:t>
      </w:r>
      <w:r w:rsidR="0044681C">
        <w:t>-</w:t>
      </w:r>
      <w:r w:rsidR="00E60AA3">
        <w:t>level analysis of their voting behaviour</w:t>
      </w:r>
      <w:r w:rsidR="00F83829">
        <w:t xml:space="preserve">. </w:t>
      </w:r>
    </w:p>
    <w:p w14:paraId="446C2D66" w14:textId="0D592AC2" w:rsidR="00443D11" w:rsidRDefault="00F83829" w:rsidP="00DB4FD2">
      <w:r>
        <w:t>The Trustees consider the proportion of votes cast, and the proportion of votes against management to be an important (but not the only) consideration of investor behaviour.</w:t>
      </w:r>
    </w:p>
    <w:p w14:paraId="2B1B9D6F" w14:textId="76740BD8" w:rsidR="00A94CAF" w:rsidRDefault="00A94CAF" w:rsidP="00A94CAF">
      <w:pPr>
        <w:keepNext/>
      </w:pPr>
      <w:r>
        <w:lastRenderedPageBreak/>
        <w:t xml:space="preserve">The latest available information provided by the investment managers, covering equity voting rights for the year ending 31 March </w:t>
      </w:r>
      <w:r w:rsidR="0075001D">
        <w:t>2024</w:t>
      </w:r>
      <w:r>
        <w:t>, is as follows:</w:t>
      </w:r>
    </w:p>
    <w:p w14:paraId="6A2D4073" w14:textId="77777777" w:rsidR="00E414C4" w:rsidRPr="00032985" w:rsidRDefault="00E414C4" w:rsidP="00A94CAF">
      <w:pPr>
        <w:keepNext/>
        <w:rPr>
          <w:rStyle w:val="Emphasis"/>
          <w:sz w:val="22"/>
        </w:rPr>
      </w:pPr>
    </w:p>
    <w:tbl>
      <w:tblPr>
        <w:tblStyle w:val="TableGrid"/>
        <w:tblW w:w="4962" w:type="pct"/>
        <w:tblBorders>
          <w:top w:val="none" w:sz="0" w:space="0" w:color="auto"/>
          <w:bottom w:val="none" w:sz="0" w:space="0" w:color="auto"/>
          <w:insideH w:val="single" w:sz="4" w:space="0" w:color="auto"/>
        </w:tblBorders>
        <w:tblLook w:val="0620" w:firstRow="1" w:lastRow="0" w:firstColumn="0" w:lastColumn="0" w:noHBand="1" w:noVBand="1"/>
      </w:tblPr>
      <w:tblGrid>
        <w:gridCol w:w="2328"/>
        <w:gridCol w:w="2328"/>
        <w:gridCol w:w="2328"/>
        <w:gridCol w:w="2328"/>
      </w:tblGrid>
      <w:tr w:rsidR="00E414C4" w:rsidRPr="00D054C3" w14:paraId="1B88690B" w14:textId="77777777" w:rsidTr="00C261B5">
        <w:trPr>
          <w:cnfStyle w:val="100000000000" w:firstRow="1" w:lastRow="0" w:firstColumn="0" w:lastColumn="0" w:oddVBand="0" w:evenVBand="0" w:oddHBand="0" w:evenHBand="0" w:firstRowFirstColumn="0" w:firstRowLastColumn="0" w:lastRowFirstColumn="0" w:lastRowLastColumn="0"/>
        </w:trPr>
        <w:tc>
          <w:tcPr>
            <w:tcW w:w="2328" w:type="dxa"/>
            <w:tcBorders>
              <w:left w:val="nil"/>
              <w:bottom w:val="single" w:sz="4" w:space="0" w:color="auto"/>
              <w:right w:val="nil"/>
            </w:tcBorders>
            <w:shd w:val="clear" w:color="auto" w:fill="000000" w:themeFill="text1"/>
            <w:hideMark/>
          </w:tcPr>
          <w:p w14:paraId="73EA6185" w14:textId="26C49902" w:rsidR="00E414C4" w:rsidRPr="000C3B01" w:rsidRDefault="00E414C4" w:rsidP="00C261B5">
            <w:pPr>
              <w:pStyle w:val="TableHeaders"/>
              <w:rPr>
                <w:b/>
                <w:bCs/>
                <w:sz w:val="22"/>
                <w:lang w:val="en-GB"/>
              </w:rPr>
            </w:pPr>
            <w:r w:rsidRPr="000C3B01">
              <w:rPr>
                <w:sz w:val="22"/>
                <w:lang w:val="en-GB"/>
              </w:rPr>
              <w:t>Voting behaviour</w:t>
            </w:r>
          </w:p>
        </w:tc>
        <w:tc>
          <w:tcPr>
            <w:tcW w:w="2328" w:type="dxa"/>
            <w:tcBorders>
              <w:left w:val="nil"/>
              <w:bottom w:val="single" w:sz="4" w:space="0" w:color="auto"/>
              <w:right w:val="nil"/>
            </w:tcBorders>
            <w:shd w:val="clear" w:color="auto" w:fill="000000" w:themeFill="text1"/>
          </w:tcPr>
          <w:p w14:paraId="23F09A04" w14:textId="77777777" w:rsidR="00E414C4" w:rsidRDefault="00E414C4" w:rsidP="00C261B5">
            <w:pPr>
              <w:pStyle w:val="TableHeaders"/>
              <w:rPr>
                <w:sz w:val="18"/>
                <w:szCs w:val="18"/>
              </w:rPr>
            </w:pPr>
          </w:p>
          <w:p w14:paraId="53D4CEEB" w14:textId="77777777" w:rsidR="00E414C4" w:rsidRDefault="00E414C4" w:rsidP="00C261B5">
            <w:pPr>
              <w:pStyle w:val="TableHeaders"/>
              <w:rPr>
                <w:sz w:val="18"/>
                <w:szCs w:val="18"/>
              </w:rPr>
            </w:pPr>
          </w:p>
          <w:p w14:paraId="01AC2F92" w14:textId="0B22DF15" w:rsidR="00E414C4" w:rsidRPr="000C3B01" w:rsidRDefault="00E414C4" w:rsidP="00C261B5">
            <w:pPr>
              <w:pStyle w:val="TableHeaders"/>
              <w:rPr>
                <w:b/>
                <w:bCs/>
                <w:sz w:val="18"/>
                <w:szCs w:val="18"/>
                <w:lang w:val="en-GB"/>
              </w:rPr>
            </w:pPr>
            <w:r w:rsidRPr="00E414C4">
              <w:rPr>
                <w:sz w:val="18"/>
                <w:szCs w:val="18"/>
              </w:rPr>
              <w:t>LGIM UK Equity Index</w:t>
            </w:r>
          </w:p>
        </w:tc>
        <w:tc>
          <w:tcPr>
            <w:tcW w:w="2328" w:type="dxa"/>
            <w:tcBorders>
              <w:left w:val="nil"/>
              <w:bottom w:val="single" w:sz="4" w:space="0" w:color="auto"/>
              <w:right w:val="nil"/>
            </w:tcBorders>
            <w:shd w:val="clear" w:color="auto" w:fill="000000" w:themeFill="text1"/>
            <w:hideMark/>
          </w:tcPr>
          <w:p w14:paraId="465CAF57" w14:textId="77777777" w:rsidR="00E414C4" w:rsidRDefault="00E414C4" w:rsidP="00C261B5">
            <w:pPr>
              <w:pStyle w:val="TableHeaders"/>
              <w:tabs>
                <w:tab w:val="center" w:pos="1062"/>
              </w:tabs>
              <w:rPr>
                <w:sz w:val="18"/>
                <w:szCs w:val="18"/>
              </w:rPr>
            </w:pPr>
          </w:p>
          <w:p w14:paraId="6675CB78" w14:textId="77777777" w:rsidR="00E414C4" w:rsidRDefault="00E414C4" w:rsidP="00C261B5">
            <w:pPr>
              <w:pStyle w:val="TableHeaders"/>
              <w:tabs>
                <w:tab w:val="center" w:pos="1062"/>
              </w:tabs>
              <w:rPr>
                <w:sz w:val="18"/>
                <w:szCs w:val="18"/>
              </w:rPr>
            </w:pPr>
          </w:p>
          <w:p w14:paraId="45A99814" w14:textId="7CC32BD7" w:rsidR="00E414C4" w:rsidRPr="000C3B01" w:rsidRDefault="00E414C4" w:rsidP="00C261B5">
            <w:pPr>
              <w:pStyle w:val="TableHeaders"/>
              <w:tabs>
                <w:tab w:val="center" w:pos="1062"/>
              </w:tabs>
              <w:rPr>
                <w:b/>
                <w:bCs/>
                <w:sz w:val="18"/>
                <w:szCs w:val="18"/>
                <w:lang w:val="en-GB"/>
              </w:rPr>
            </w:pPr>
            <w:r w:rsidRPr="00E414C4">
              <w:rPr>
                <w:sz w:val="18"/>
                <w:szCs w:val="18"/>
              </w:rPr>
              <w:t>LGIM World (ex UK) Equity Index</w:t>
            </w:r>
          </w:p>
        </w:tc>
        <w:tc>
          <w:tcPr>
            <w:tcW w:w="2328" w:type="dxa"/>
            <w:tcBorders>
              <w:left w:val="nil"/>
              <w:bottom w:val="single" w:sz="4" w:space="0" w:color="auto"/>
              <w:right w:val="nil"/>
            </w:tcBorders>
            <w:shd w:val="clear" w:color="auto" w:fill="000000" w:themeFill="text1"/>
          </w:tcPr>
          <w:p w14:paraId="7996DBB3" w14:textId="77777777" w:rsidR="00E414C4" w:rsidRDefault="00E414C4" w:rsidP="00C261B5">
            <w:pPr>
              <w:pStyle w:val="TableHeaders"/>
              <w:rPr>
                <w:sz w:val="18"/>
                <w:szCs w:val="18"/>
              </w:rPr>
            </w:pPr>
          </w:p>
          <w:p w14:paraId="4784C209" w14:textId="77777777" w:rsidR="00E414C4" w:rsidRDefault="00E414C4" w:rsidP="00C261B5">
            <w:pPr>
              <w:pStyle w:val="TableHeaders"/>
              <w:rPr>
                <w:sz w:val="18"/>
                <w:szCs w:val="18"/>
              </w:rPr>
            </w:pPr>
          </w:p>
          <w:p w14:paraId="163C1F45" w14:textId="6CDF2469" w:rsidR="00E414C4" w:rsidRPr="000C3B01" w:rsidRDefault="00E414C4" w:rsidP="00C261B5">
            <w:pPr>
              <w:pStyle w:val="TableHeaders"/>
              <w:rPr>
                <w:b/>
                <w:bCs/>
                <w:sz w:val="18"/>
                <w:szCs w:val="18"/>
                <w:lang w:val="en-GB"/>
              </w:rPr>
            </w:pPr>
            <w:r w:rsidRPr="00E414C4">
              <w:rPr>
                <w:sz w:val="18"/>
                <w:szCs w:val="18"/>
              </w:rPr>
              <w:t>LGIM World (ex UK) Equity Index (GBP Hedged)</w:t>
            </w:r>
          </w:p>
        </w:tc>
      </w:tr>
      <w:tr w:rsidR="00E414C4" w:rsidRPr="00140254" w14:paraId="3D91BD5A" w14:textId="77777777" w:rsidTr="00C261B5">
        <w:tc>
          <w:tcPr>
            <w:tcW w:w="2328" w:type="dxa"/>
            <w:tcBorders>
              <w:top w:val="single" w:sz="4" w:space="0" w:color="auto"/>
              <w:left w:val="nil"/>
              <w:bottom w:val="single" w:sz="4" w:space="0" w:color="auto"/>
              <w:right w:val="nil"/>
            </w:tcBorders>
          </w:tcPr>
          <w:p w14:paraId="5B328FB4" w14:textId="77777777" w:rsidR="00E414C4" w:rsidRDefault="00E414C4" w:rsidP="00C261B5">
            <w:pPr>
              <w:pStyle w:val="Tablecontent"/>
              <w:rPr>
                <w:sz w:val="18"/>
                <w:szCs w:val="18"/>
              </w:rPr>
            </w:pPr>
            <w:r>
              <w:rPr>
                <w:sz w:val="18"/>
                <w:szCs w:val="18"/>
              </w:rPr>
              <w:t>Period</w:t>
            </w:r>
          </w:p>
        </w:tc>
        <w:tc>
          <w:tcPr>
            <w:tcW w:w="2328" w:type="dxa"/>
            <w:tcBorders>
              <w:top w:val="single" w:sz="4" w:space="0" w:color="auto"/>
              <w:left w:val="nil"/>
              <w:bottom w:val="single" w:sz="4" w:space="0" w:color="auto"/>
              <w:right w:val="nil"/>
            </w:tcBorders>
          </w:tcPr>
          <w:p w14:paraId="3DBFDBE2" w14:textId="165BDD7B" w:rsidR="00E414C4" w:rsidRPr="00140254" w:rsidRDefault="00E414C4" w:rsidP="00C261B5">
            <w:pPr>
              <w:pStyle w:val="Tablecontent"/>
              <w:jc w:val="both"/>
              <w:rPr>
                <w:sz w:val="18"/>
                <w:szCs w:val="18"/>
              </w:rPr>
            </w:pPr>
            <w:r w:rsidRPr="00816E15">
              <w:rPr>
                <w:sz w:val="18"/>
                <w:szCs w:val="18"/>
              </w:rPr>
              <w:t>01/04/</w:t>
            </w:r>
            <w:r w:rsidR="0075001D">
              <w:rPr>
                <w:sz w:val="18"/>
                <w:szCs w:val="18"/>
              </w:rPr>
              <w:t>2023</w:t>
            </w:r>
            <w:r w:rsidRPr="00816E15">
              <w:rPr>
                <w:sz w:val="18"/>
                <w:szCs w:val="18"/>
              </w:rPr>
              <w:t>-31/03/</w:t>
            </w:r>
            <w:r w:rsidR="0075001D">
              <w:rPr>
                <w:sz w:val="18"/>
                <w:szCs w:val="18"/>
              </w:rPr>
              <w:t>2024</w:t>
            </w:r>
          </w:p>
        </w:tc>
        <w:tc>
          <w:tcPr>
            <w:tcW w:w="2328" w:type="dxa"/>
            <w:tcBorders>
              <w:top w:val="single" w:sz="4" w:space="0" w:color="auto"/>
              <w:left w:val="nil"/>
              <w:bottom w:val="single" w:sz="4" w:space="0" w:color="auto"/>
              <w:right w:val="nil"/>
            </w:tcBorders>
          </w:tcPr>
          <w:p w14:paraId="046351BC" w14:textId="5AABD38D" w:rsidR="00E414C4" w:rsidRPr="00140254" w:rsidRDefault="00E414C4" w:rsidP="00C261B5">
            <w:pPr>
              <w:pStyle w:val="Tablecontent"/>
              <w:jc w:val="both"/>
              <w:rPr>
                <w:sz w:val="18"/>
                <w:szCs w:val="18"/>
              </w:rPr>
            </w:pPr>
            <w:r w:rsidRPr="00816E15">
              <w:rPr>
                <w:sz w:val="18"/>
                <w:szCs w:val="18"/>
              </w:rPr>
              <w:t>01/04/</w:t>
            </w:r>
            <w:r w:rsidR="0075001D">
              <w:rPr>
                <w:sz w:val="18"/>
                <w:szCs w:val="18"/>
              </w:rPr>
              <w:t>2023</w:t>
            </w:r>
            <w:r w:rsidRPr="00816E15">
              <w:rPr>
                <w:sz w:val="18"/>
                <w:szCs w:val="18"/>
              </w:rPr>
              <w:t>-31/03/</w:t>
            </w:r>
            <w:r w:rsidR="0075001D">
              <w:rPr>
                <w:sz w:val="18"/>
                <w:szCs w:val="18"/>
              </w:rPr>
              <w:t>2024</w:t>
            </w:r>
          </w:p>
        </w:tc>
        <w:tc>
          <w:tcPr>
            <w:tcW w:w="2328" w:type="dxa"/>
            <w:tcBorders>
              <w:top w:val="single" w:sz="4" w:space="0" w:color="auto"/>
              <w:left w:val="nil"/>
              <w:bottom w:val="single" w:sz="4" w:space="0" w:color="auto"/>
              <w:right w:val="nil"/>
            </w:tcBorders>
          </w:tcPr>
          <w:p w14:paraId="71434A99" w14:textId="7E94C0BA" w:rsidR="00E414C4" w:rsidRPr="00140254" w:rsidRDefault="00E414C4" w:rsidP="00C261B5">
            <w:pPr>
              <w:pStyle w:val="Tablecontent"/>
              <w:jc w:val="both"/>
              <w:rPr>
                <w:sz w:val="18"/>
                <w:szCs w:val="18"/>
              </w:rPr>
            </w:pPr>
            <w:r w:rsidRPr="00816E15">
              <w:rPr>
                <w:sz w:val="18"/>
                <w:szCs w:val="18"/>
              </w:rPr>
              <w:t>01/04/</w:t>
            </w:r>
            <w:r w:rsidR="0075001D">
              <w:rPr>
                <w:sz w:val="18"/>
                <w:szCs w:val="18"/>
              </w:rPr>
              <w:t>2023</w:t>
            </w:r>
            <w:r w:rsidRPr="00816E15">
              <w:rPr>
                <w:sz w:val="18"/>
                <w:szCs w:val="18"/>
              </w:rPr>
              <w:t>-31/03/</w:t>
            </w:r>
            <w:r w:rsidR="0075001D">
              <w:rPr>
                <w:sz w:val="18"/>
                <w:szCs w:val="18"/>
              </w:rPr>
              <w:t>2024</w:t>
            </w:r>
          </w:p>
        </w:tc>
      </w:tr>
      <w:tr w:rsidR="00483257" w:rsidRPr="007B5503" w14:paraId="29EB7A79" w14:textId="77777777" w:rsidTr="00483257">
        <w:tc>
          <w:tcPr>
            <w:tcW w:w="2328" w:type="dxa"/>
            <w:tcBorders>
              <w:top w:val="single" w:sz="4" w:space="0" w:color="auto"/>
              <w:left w:val="nil"/>
              <w:bottom w:val="single" w:sz="4" w:space="0" w:color="auto"/>
              <w:right w:val="nil"/>
            </w:tcBorders>
          </w:tcPr>
          <w:p w14:paraId="1B1A0395" w14:textId="77777777" w:rsidR="00483257" w:rsidRPr="00140254" w:rsidRDefault="00483257" w:rsidP="00483257">
            <w:pPr>
              <w:pStyle w:val="Tablecontent"/>
              <w:rPr>
                <w:sz w:val="18"/>
                <w:szCs w:val="18"/>
              </w:rPr>
            </w:pPr>
            <w:r>
              <w:rPr>
                <w:sz w:val="18"/>
                <w:szCs w:val="18"/>
              </w:rPr>
              <w:t>Number of meetings eligible to vote at</w:t>
            </w:r>
          </w:p>
        </w:tc>
        <w:tc>
          <w:tcPr>
            <w:tcW w:w="2328" w:type="dxa"/>
            <w:tcBorders>
              <w:top w:val="single" w:sz="4" w:space="0" w:color="auto"/>
              <w:left w:val="nil"/>
              <w:bottom w:val="single" w:sz="4" w:space="0" w:color="auto"/>
              <w:right w:val="nil"/>
            </w:tcBorders>
            <w:vAlign w:val="center"/>
          </w:tcPr>
          <w:p w14:paraId="50083575" w14:textId="2BB28C38" w:rsidR="00483257" w:rsidRPr="007830D3" w:rsidRDefault="00483257" w:rsidP="00483257">
            <w:pPr>
              <w:pStyle w:val="Tablecontent"/>
              <w:jc w:val="center"/>
              <w:rPr>
                <w:sz w:val="18"/>
                <w:szCs w:val="18"/>
              </w:rPr>
            </w:pPr>
            <w:r w:rsidRPr="007830D3">
              <w:rPr>
                <w:sz w:val="18"/>
                <w:szCs w:val="18"/>
              </w:rPr>
              <w:t>709</w:t>
            </w:r>
          </w:p>
        </w:tc>
        <w:tc>
          <w:tcPr>
            <w:tcW w:w="2328" w:type="dxa"/>
            <w:tcBorders>
              <w:top w:val="single" w:sz="4" w:space="0" w:color="auto"/>
              <w:left w:val="nil"/>
              <w:bottom w:val="single" w:sz="4" w:space="0" w:color="auto"/>
              <w:right w:val="nil"/>
            </w:tcBorders>
            <w:vAlign w:val="center"/>
          </w:tcPr>
          <w:p w14:paraId="65F7AA89" w14:textId="7D7C6CEF" w:rsidR="00483257" w:rsidRPr="007830D3" w:rsidRDefault="00483257" w:rsidP="00483257">
            <w:pPr>
              <w:pStyle w:val="Tablecontent"/>
              <w:jc w:val="center"/>
              <w:rPr>
                <w:sz w:val="18"/>
                <w:szCs w:val="18"/>
              </w:rPr>
            </w:pPr>
            <w:r w:rsidRPr="007830D3">
              <w:rPr>
                <w:color w:val="auto"/>
                <w:sz w:val="18"/>
                <w:szCs w:val="18"/>
              </w:rPr>
              <w:t>2,867</w:t>
            </w:r>
          </w:p>
        </w:tc>
        <w:tc>
          <w:tcPr>
            <w:tcW w:w="2328" w:type="dxa"/>
            <w:tcBorders>
              <w:top w:val="single" w:sz="4" w:space="0" w:color="auto"/>
              <w:left w:val="nil"/>
              <w:bottom w:val="single" w:sz="4" w:space="0" w:color="auto"/>
              <w:right w:val="nil"/>
            </w:tcBorders>
            <w:vAlign w:val="center"/>
          </w:tcPr>
          <w:p w14:paraId="69562C39" w14:textId="296BF893" w:rsidR="00483257" w:rsidRPr="007830D3" w:rsidRDefault="00483257" w:rsidP="00483257">
            <w:pPr>
              <w:pStyle w:val="Tablecontent"/>
              <w:jc w:val="center"/>
              <w:rPr>
                <w:sz w:val="18"/>
                <w:szCs w:val="18"/>
              </w:rPr>
            </w:pPr>
            <w:r w:rsidRPr="007830D3">
              <w:rPr>
                <w:color w:val="auto"/>
                <w:sz w:val="18"/>
                <w:szCs w:val="18"/>
              </w:rPr>
              <w:t>2,867</w:t>
            </w:r>
          </w:p>
        </w:tc>
      </w:tr>
      <w:tr w:rsidR="00483257" w:rsidRPr="00A1037F" w14:paraId="0C89943F" w14:textId="77777777" w:rsidTr="00483257">
        <w:tc>
          <w:tcPr>
            <w:tcW w:w="2328" w:type="dxa"/>
            <w:tcBorders>
              <w:top w:val="single" w:sz="4" w:space="0" w:color="auto"/>
              <w:left w:val="nil"/>
              <w:bottom w:val="single" w:sz="4" w:space="0" w:color="auto"/>
              <w:right w:val="nil"/>
            </w:tcBorders>
          </w:tcPr>
          <w:p w14:paraId="49C63FC9" w14:textId="77777777" w:rsidR="00483257" w:rsidRPr="00140254" w:rsidRDefault="00483257" w:rsidP="00483257">
            <w:pPr>
              <w:pStyle w:val="Tablecontent"/>
              <w:rPr>
                <w:sz w:val="18"/>
                <w:szCs w:val="18"/>
              </w:rPr>
            </w:pPr>
            <w:r>
              <w:rPr>
                <w:sz w:val="18"/>
                <w:szCs w:val="18"/>
              </w:rPr>
              <w:t>Number of resolutions eligible to vote on</w:t>
            </w:r>
          </w:p>
        </w:tc>
        <w:tc>
          <w:tcPr>
            <w:tcW w:w="2328" w:type="dxa"/>
            <w:tcBorders>
              <w:top w:val="single" w:sz="4" w:space="0" w:color="auto"/>
              <w:left w:val="nil"/>
              <w:bottom w:val="single" w:sz="4" w:space="0" w:color="auto"/>
              <w:right w:val="nil"/>
            </w:tcBorders>
            <w:vAlign w:val="center"/>
          </w:tcPr>
          <w:p w14:paraId="5589D4F7" w14:textId="356E197A" w:rsidR="00483257" w:rsidRPr="007830D3" w:rsidRDefault="00483257" w:rsidP="00483257">
            <w:pPr>
              <w:pStyle w:val="Tablecontent"/>
              <w:jc w:val="center"/>
              <w:rPr>
                <w:sz w:val="18"/>
                <w:szCs w:val="18"/>
              </w:rPr>
            </w:pPr>
            <w:r w:rsidRPr="007830D3">
              <w:rPr>
                <w:sz w:val="18"/>
                <w:szCs w:val="18"/>
              </w:rPr>
              <w:t>10,462</w:t>
            </w:r>
          </w:p>
        </w:tc>
        <w:tc>
          <w:tcPr>
            <w:tcW w:w="2328" w:type="dxa"/>
            <w:tcBorders>
              <w:top w:val="single" w:sz="4" w:space="0" w:color="auto"/>
              <w:left w:val="nil"/>
              <w:bottom w:val="single" w:sz="4" w:space="0" w:color="auto"/>
              <w:right w:val="nil"/>
            </w:tcBorders>
            <w:vAlign w:val="center"/>
          </w:tcPr>
          <w:p w14:paraId="23BBE47E" w14:textId="6370C5F5" w:rsidR="00483257" w:rsidRPr="007830D3" w:rsidRDefault="00483257" w:rsidP="00483257">
            <w:pPr>
              <w:pStyle w:val="Tablecontent"/>
              <w:jc w:val="center"/>
              <w:rPr>
                <w:sz w:val="18"/>
                <w:szCs w:val="18"/>
              </w:rPr>
            </w:pPr>
            <w:r w:rsidRPr="007830D3">
              <w:rPr>
                <w:color w:val="auto"/>
                <w:sz w:val="18"/>
                <w:szCs w:val="18"/>
              </w:rPr>
              <w:t>34,635</w:t>
            </w:r>
          </w:p>
        </w:tc>
        <w:tc>
          <w:tcPr>
            <w:tcW w:w="2328" w:type="dxa"/>
            <w:tcBorders>
              <w:top w:val="single" w:sz="4" w:space="0" w:color="auto"/>
              <w:left w:val="nil"/>
              <w:bottom w:val="single" w:sz="4" w:space="0" w:color="auto"/>
              <w:right w:val="nil"/>
            </w:tcBorders>
            <w:vAlign w:val="center"/>
          </w:tcPr>
          <w:p w14:paraId="7A398AAA" w14:textId="78674129" w:rsidR="00483257" w:rsidRPr="007830D3" w:rsidRDefault="00483257" w:rsidP="00483257">
            <w:pPr>
              <w:pStyle w:val="Tablecontent"/>
              <w:jc w:val="center"/>
              <w:rPr>
                <w:sz w:val="18"/>
                <w:szCs w:val="18"/>
              </w:rPr>
            </w:pPr>
            <w:r w:rsidRPr="007830D3">
              <w:rPr>
                <w:color w:val="auto"/>
                <w:sz w:val="18"/>
                <w:szCs w:val="18"/>
              </w:rPr>
              <w:t>34,635</w:t>
            </w:r>
          </w:p>
        </w:tc>
      </w:tr>
      <w:tr w:rsidR="00483257" w:rsidRPr="00A1037F" w14:paraId="5D591462" w14:textId="77777777" w:rsidTr="00483257">
        <w:tc>
          <w:tcPr>
            <w:tcW w:w="2328" w:type="dxa"/>
            <w:tcBorders>
              <w:top w:val="single" w:sz="4" w:space="0" w:color="auto"/>
              <w:left w:val="nil"/>
              <w:bottom w:val="single" w:sz="4" w:space="0" w:color="auto"/>
              <w:right w:val="nil"/>
            </w:tcBorders>
          </w:tcPr>
          <w:p w14:paraId="1508EB5D" w14:textId="77777777" w:rsidR="00483257" w:rsidRDefault="00483257" w:rsidP="00483257">
            <w:pPr>
              <w:pStyle w:val="Tablecontent"/>
              <w:rPr>
                <w:sz w:val="18"/>
                <w:szCs w:val="18"/>
              </w:rPr>
            </w:pPr>
            <w:r>
              <w:rPr>
                <w:sz w:val="18"/>
                <w:szCs w:val="18"/>
              </w:rPr>
              <w:t>Proportion of votes cast</w:t>
            </w:r>
          </w:p>
        </w:tc>
        <w:tc>
          <w:tcPr>
            <w:tcW w:w="2328" w:type="dxa"/>
            <w:tcBorders>
              <w:top w:val="single" w:sz="4" w:space="0" w:color="auto"/>
              <w:left w:val="nil"/>
              <w:bottom w:val="single" w:sz="4" w:space="0" w:color="auto"/>
              <w:right w:val="nil"/>
            </w:tcBorders>
            <w:vAlign w:val="center"/>
          </w:tcPr>
          <w:p w14:paraId="123A0449" w14:textId="2C3BB715" w:rsidR="00483257" w:rsidRPr="007830D3" w:rsidRDefault="00483257" w:rsidP="00483257">
            <w:pPr>
              <w:pStyle w:val="Tablecontent"/>
              <w:jc w:val="center"/>
              <w:rPr>
                <w:sz w:val="18"/>
                <w:szCs w:val="18"/>
              </w:rPr>
            </w:pPr>
            <w:r w:rsidRPr="007830D3">
              <w:rPr>
                <w:sz w:val="18"/>
                <w:szCs w:val="18"/>
              </w:rPr>
              <w:t>99.8%</w:t>
            </w:r>
          </w:p>
        </w:tc>
        <w:tc>
          <w:tcPr>
            <w:tcW w:w="2328" w:type="dxa"/>
            <w:tcBorders>
              <w:top w:val="single" w:sz="4" w:space="0" w:color="auto"/>
              <w:left w:val="nil"/>
              <w:bottom w:val="single" w:sz="4" w:space="0" w:color="auto"/>
              <w:right w:val="nil"/>
            </w:tcBorders>
            <w:vAlign w:val="center"/>
          </w:tcPr>
          <w:p w14:paraId="56C33285" w14:textId="245544C4" w:rsidR="00483257" w:rsidRPr="007830D3" w:rsidRDefault="00483257" w:rsidP="00483257">
            <w:pPr>
              <w:pStyle w:val="Tablecontent"/>
              <w:jc w:val="center"/>
              <w:rPr>
                <w:sz w:val="18"/>
                <w:szCs w:val="18"/>
              </w:rPr>
            </w:pPr>
            <w:r w:rsidRPr="007830D3">
              <w:rPr>
                <w:color w:val="auto"/>
                <w:sz w:val="18"/>
                <w:szCs w:val="18"/>
              </w:rPr>
              <w:t>99.9%</w:t>
            </w:r>
          </w:p>
        </w:tc>
        <w:tc>
          <w:tcPr>
            <w:tcW w:w="2328" w:type="dxa"/>
            <w:tcBorders>
              <w:top w:val="single" w:sz="4" w:space="0" w:color="auto"/>
              <w:left w:val="nil"/>
              <w:bottom w:val="single" w:sz="4" w:space="0" w:color="auto"/>
              <w:right w:val="nil"/>
            </w:tcBorders>
            <w:vAlign w:val="center"/>
          </w:tcPr>
          <w:p w14:paraId="1975F588" w14:textId="09EB7DC5" w:rsidR="00483257" w:rsidRPr="007830D3" w:rsidRDefault="00483257" w:rsidP="00483257">
            <w:pPr>
              <w:pStyle w:val="Tablecontent"/>
              <w:jc w:val="center"/>
              <w:rPr>
                <w:sz w:val="18"/>
                <w:szCs w:val="18"/>
              </w:rPr>
            </w:pPr>
            <w:r w:rsidRPr="007830D3">
              <w:rPr>
                <w:color w:val="auto"/>
                <w:sz w:val="18"/>
                <w:szCs w:val="18"/>
              </w:rPr>
              <w:t>99.9%</w:t>
            </w:r>
          </w:p>
        </w:tc>
      </w:tr>
      <w:tr w:rsidR="00483257" w:rsidRPr="007B5503" w14:paraId="4E85F51A" w14:textId="77777777" w:rsidTr="00483257">
        <w:tc>
          <w:tcPr>
            <w:tcW w:w="2328" w:type="dxa"/>
            <w:tcBorders>
              <w:top w:val="single" w:sz="4" w:space="0" w:color="auto"/>
              <w:left w:val="nil"/>
              <w:bottom w:val="single" w:sz="4" w:space="0" w:color="auto"/>
              <w:right w:val="nil"/>
            </w:tcBorders>
          </w:tcPr>
          <w:p w14:paraId="3D6FD35C" w14:textId="77777777" w:rsidR="00483257" w:rsidRDefault="00483257" w:rsidP="00483257">
            <w:pPr>
              <w:pStyle w:val="Tablecontent"/>
              <w:rPr>
                <w:sz w:val="18"/>
                <w:szCs w:val="18"/>
              </w:rPr>
            </w:pPr>
            <w:r>
              <w:rPr>
                <w:sz w:val="18"/>
                <w:szCs w:val="18"/>
              </w:rPr>
              <w:t>Proportion of votes for management</w:t>
            </w:r>
          </w:p>
        </w:tc>
        <w:tc>
          <w:tcPr>
            <w:tcW w:w="2328" w:type="dxa"/>
            <w:tcBorders>
              <w:top w:val="single" w:sz="4" w:space="0" w:color="auto"/>
              <w:left w:val="nil"/>
              <w:bottom w:val="single" w:sz="4" w:space="0" w:color="auto"/>
              <w:right w:val="nil"/>
            </w:tcBorders>
            <w:vAlign w:val="center"/>
          </w:tcPr>
          <w:p w14:paraId="060C4F82" w14:textId="12E36349" w:rsidR="00483257" w:rsidRPr="007830D3" w:rsidRDefault="00483257" w:rsidP="00483257">
            <w:pPr>
              <w:pStyle w:val="Tablecontent"/>
              <w:jc w:val="center"/>
              <w:rPr>
                <w:sz w:val="18"/>
                <w:szCs w:val="18"/>
              </w:rPr>
            </w:pPr>
            <w:r w:rsidRPr="007830D3">
              <w:rPr>
                <w:sz w:val="18"/>
                <w:szCs w:val="18"/>
              </w:rPr>
              <w:t>94.4%</w:t>
            </w:r>
          </w:p>
        </w:tc>
        <w:tc>
          <w:tcPr>
            <w:tcW w:w="2328" w:type="dxa"/>
            <w:tcBorders>
              <w:top w:val="single" w:sz="4" w:space="0" w:color="auto"/>
              <w:left w:val="nil"/>
              <w:bottom w:val="single" w:sz="4" w:space="0" w:color="auto"/>
              <w:right w:val="nil"/>
            </w:tcBorders>
            <w:vAlign w:val="center"/>
          </w:tcPr>
          <w:p w14:paraId="2152F4F6" w14:textId="24C48049" w:rsidR="00483257" w:rsidRPr="007830D3" w:rsidRDefault="00483257" w:rsidP="00483257">
            <w:pPr>
              <w:pStyle w:val="Tablecontent"/>
              <w:jc w:val="center"/>
              <w:rPr>
                <w:sz w:val="18"/>
                <w:szCs w:val="18"/>
              </w:rPr>
            </w:pPr>
            <w:r w:rsidRPr="007830D3">
              <w:rPr>
                <w:color w:val="auto"/>
                <w:sz w:val="18"/>
                <w:szCs w:val="18"/>
              </w:rPr>
              <w:t>78.0%</w:t>
            </w:r>
          </w:p>
        </w:tc>
        <w:tc>
          <w:tcPr>
            <w:tcW w:w="2328" w:type="dxa"/>
            <w:tcBorders>
              <w:top w:val="single" w:sz="4" w:space="0" w:color="auto"/>
              <w:left w:val="nil"/>
              <w:bottom w:val="single" w:sz="4" w:space="0" w:color="auto"/>
              <w:right w:val="nil"/>
            </w:tcBorders>
            <w:vAlign w:val="center"/>
          </w:tcPr>
          <w:p w14:paraId="068C46D4" w14:textId="217A28DE" w:rsidR="00483257" w:rsidRPr="007830D3" w:rsidRDefault="00483257" w:rsidP="00483257">
            <w:pPr>
              <w:pStyle w:val="Tablecontent"/>
              <w:jc w:val="center"/>
              <w:rPr>
                <w:sz w:val="18"/>
                <w:szCs w:val="18"/>
              </w:rPr>
            </w:pPr>
            <w:r w:rsidRPr="007830D3">
              <w:rPr>
                <w:color w:val="auto"/>
                <w:sz w:val="18"/>
                <w:szCs w:val="18"/>
              </w:rPr>
              <w:t>78.0%</w:t>
            </w:r>
          </w:p>
        </w:tc>
      </w:tr>
      <w:tr w:rsidR="00483257" w:rsidRPr="00A1037F" w14:paraId="321FD669" w14:textId="77777777" w:rsidTr="00483257">
        <w:tc>
          <w:tcPr>
            <w:tcW w:w="2328" w:type="dxa"/>
            <w:tcBorders>
              <w:top w:val="single" w:sz="4" w:space="0" w:color="auto"/>
              <w:left w:val="nil"/>
              <w:bottom w:val="single" w:sz="4" w:space="0" w:color="auto"/>
              <w:right w:val="nil"/>
            </w:tcBorders>
          </w:tcPr>
          <w:p w14:paraId="0418C83B" w14:textId="77777777" w:rsidR="00483257" w:rsidRDefault="00483257" w:rsidP="00483257">
            <w:pPr>
              <w:pStyle w:val="Tablecontent"/>
              <w:rPr>
                <w:sz w:val="18"/>
                <w:szCs w:val="18"/>
              </w:rPr>
            </w:pPr>
            <w:r>
              <w:rPr>
                <w:sz w:val="18"/>
                <w:szCs w:val="18"/>
              </w:rPr>
              <w:t>Proportion of votes against management</w:t>
            </w:r>
          </w:p>
        </w:tc>
        <w:tc>
          <w:tcPr>
            <w:tcW w:w="2328" w:type="dxa"/>
            <w:tcBorders>
              <w:top w:val="single" w:sz="4" w:space="0" w:color="auto"/>
              <w:left w:val="nil"/>
              <w:bottom w:val="single" w:sz="4" w:space="0" w:color="auto"/>
              <w:right w:val="nil"/>
            </w:tcBorders>
            <w:vAlign w:val="center"/>
          </w:tcPr>
          <w:p w14:paraId="45C6347C" w14:textId="14690FAC" w:rsidR="00483257" w:rsidRPr="007830D3" w:rsidRDefault="00483257" w:rsidP="00483257">
            <w:pPr>
              <w:pStyle w:val="Tablecontent"/>
              <w:jc w:val="center"/>
              <w:rPr>
                <w:sz w:val="18"/>
                <w:szCs w:val="18"/>
              </w:rPr>
            </w:pPr>
            <w:r w:rsidRPr="007830D3">
              <w:rPr>
                <w:sz w:val="18"/>
                <w:szCs w:val="18"/>
              </w:rPr>
              <w:t>5.6%</w:t>
            </w:r>
          </w:p>
        </w:tc>
        <w:tc>
          <w:tcPr>
            <w:tcW w:w="2328" w:type="dxa"/>
            <w:tcBorders>
              <w:top w:val="single" w:sz="4" w:space="0" w:color="auto"/>
              <w:left w:val="nil"/>
              <w:bottom w:val="single" w:sz="4" w:space="0" w:color="auto"/>
              <w:right w:val="nil"/>
            </w:tcBorders>
            <w:vAlign w:val="center"/>
          </w:tcPr>
          <w:p w14:paraId="5FD84399" w14:textId="216FF5FC" w:rsidR="00483257" w:rsidRPr="007830D3" w:rsidRDefault="00483257" w:rsidP="00483257">
            <w:pPr>
              <w:pStyle w:val="Tablecontent"/>
              <w:jc w:val="center"/>
              <w:rPr>
                <w:sz w:val="18"/>
                <w:szCs w:val="18"/>
              </w:rPr>
            </w:pPr>
            <w:r w:rsidRPr="007830D3">
              <w:rPr>
                <w:color w:val="auto"/>
                <w:sz w:val="18"/>
                <w:szCs w:val="18"/>
              </w:rPr>
              <w:t>21.9%</w:t>
            </w:r>
          </w:p>
        </w:tc>
        <w:tc>
          <w:tcPr>
            <w:tcW w:w="2328" w:type="dxa"/>
            <w:tcBorders>
              <w:top w:val="single" w:sz="4" w:space="0" w:color="auto"/>
              <w:left w:val="nil"/>
              <w:bottom w:val="single" w:sz="4" w:space="0" w:color="auto"/>
              <w:right w:val="nil"/>
            </w:tcBorders>
            <w:vAlign w:val="center"/>
          </w:tcPr>
          <w:p w14:paraId="06A63A86" w14:textId="5F3C84C2" w:rsidR="00483257" w:rsidRPr="007830D3" w:rsidRDefault="00483257" w:rsidP="00483257">
            <w:pPr>
              <w:pStyle w:val="Tablecontent"/>
              <w:jc w:val="center"/>
              <w:rPr>
                <w:sz w:val="18"/>
                <w:szCs w:val="18"/>
              </w:rPr>
            </w:pPr>
            <w:r w:rsidRPr="007830D3">
              <w:rPr>
                <w:color w:val="auto"/>
                <w:sz w:val="18"/>
                <w:szCs w:val="18"/>
              </w:rPr>
              <w:t>21.9%</w:t>
            </w:r>
          </w:p>
        </w:tc>
      </w:tr>
      <w:tr w:rsidR="00483257" w:rsidRPr="007B5503" w14:paraId="74453AB6" w14:textId="77777777" w:rsidTr="00483257">
        <w:tc>
          <w:tcPr>
            <w:tcW w:w="2328" w:type="dxa"/>
            <w:tcBorders>
              <w:top w:val="single" w:sz="4" w:space="0" w:color="auto"/>
              <w:left w:val="nil"/>
              <w:bottom w:val="single" w:sz="4" w:space="0" w:color="auto"/>
              <w:right w:val="nil"/>
            </w:tcBorders>
          </w:tcPr>
          <w:p w14:paraId="0A7148AC" w14:textId="77777777" w:rsidR="00483257" w:rsidRDefault="00483257" w:rsidP="00483257">
            <w:pPr>
              <w:pStyle w:val="Tablecontent"/>
              <w:rPr>
                <w:sz w:val="18"/>
                <w:szCs w:val="18"/>
              </w:rPr>
            </w:pPr>
            <w:r>
              <w:rPr>
                <w:sz w:val="18"/>
                <w:szCs w:val="18"/>
              </w:rPr>
              <w:t>Proportion of resolutions abstained from voting on</w:t>
            </w:r>
          </w:p>
        </w:tc>
        <w:tc>
          <w:tcPr>
            <w:tcW w:w="2328" w:type="dxa"/>
            <w:tcBorders>
              <w:top w:val="single" w:sz="4" w:space="0" w:color="auto"/>
              <w:left w:val="nil"/>
              <w:bottom w:val="single" w:sz="4" w:space="0" w:color="auto"/>
              <w:right w:val="nil"/>
            </w:tcBorders>
            <w:vAlign w:val="center"/>
          </w:tcPr>
          <w:p w14:paraId="36FDAFBF" w14:textId="717EA1A3" w:rsidR="00483257" w:rsidRPr="007830D3" w:rsidRDefault="00483257" w:rsidP="00483257">
            <w:pPr>
              <w:pStyle w:val="Tablecontent"/>
              <w:jc w:val="center"/>
              <w:rPr>
                <w:sz w:val="18"/>
                <w:szCs w:val="18"/>
              </w:rPr>
            </w:pPr>
            <w:r w:rsidRPr="007830D3">
              <w:rPr>
                <w:sz w:val="18"/>
                <w:szCs w:val="18"/>
              </w:rPr>
              <w:t>0.0%</w:t>
            </w:r>
          </w:p>
        </w:tc>
        <w:tc>
          <w:tcPr>
            <w:tcW w:w="2328" w:type="dxa"/>
            <w:tcBorders>
              <w:top w:val="single" w:sz="4" w:space="0" w:color="auto"/>
              <w:left w:val="nil"/>
              <w:bottom w:val="single" w:sz="4" w:space="0" w:color="auto"/>
              <w:right w:val="nil"/>
            </w:tcBorders>
            <w:vAlign w:val="center"/>
          </w:tcPr>
          <w:p w14:paraId="3D4C143E" w14:textId="220BE686" w:rsidR="00483257" w:rsidRPr="007830D3" w:rsidRDefault="00483257" w:rsidP="00483257">
            <w:pPr>
              <w:pStyle w:val="Tablecontent"/>
              <w:jc w:val="center"/>
              <w:rPr>
                <w:sz w:val="18"/>
                <w:szCs w:val="18"/>
              </w:rPr>
            </w:pPr>
            <w:r w:rsidRPr="007830D3">
              <w:rPr>
                <w:color w:val="auto"/>
                <w:sz w:val="18"/>
                <w:szCs w:val="18"/>
              </w:rPr>
              <w:t>0.1%</w:t>
            </w:r>
          </w:p>
        </w:tc>
        <w:tc>
          <w:tcPr>
            <w:tcW w:w="2328" w:type="dxa"/>
            <w:tcBorders>
              <w:top w:val="single" w:sz="4" w:space="0" w:color="auto"/>
              <w:left w:val="nil"/>
              <w:bottom w:val="single" w:sz="4" w:space="0" w:color="auto"/>
              <w:right w:val="nil"/>
            </w:tcBorders>
            <w:vAlign w:val="center"/>
          </w:tcPr>
          <w:p w14:paraId="2AB170E8" w14:textId="2FBDF9DE" w:rsidR="00483257" w:rsidRPr="007830D3" w:rsidRDefault="00483257" w:rsidP="00483257">
            <w:pPr>
              <w:pStyle w:val="Tablecontent"/>
              <w:jc w:val="center"/>
              <w:rPr>
                <w:sz w:val="18"/>
                <w:szCs w:val="18"/>
              </w:rPr>
            </w:pPr>
            <w:r w:rsidRPr="007830D3">
              <w:rPr>
                <w:color w:val="auto"/>
                <w:sz w:val="18"/>
                <w:szCs w:val="18"/>
              </w:rPr>
              <w:t>0.1%</w:t>
            </w:r>
          </w:p>
        </w:tc>
      </w:tr>
    </w:tbl>
    <w:p w14:paraId="0ACD24F3" w14:textId="77777777" w:rsidR="00E414C4" w:rsidRDefault="00E414C4" w:rsidP="003E2CDD">
      <w:pPr>
        <w:rPr>
          <w:b/>
        </w:rPr>
      </w:pPr>
    </w:p>
    <w:p w14:paraId="51ACC19E" w14:textId="23129FBE" w:rsidR="00396F7F" w:rsidRPr="002C0867" w:rsidRDefault="00396F7F" w:rsidP="003E2CDD">
      <w:pPr>
        <w:rPr>
          <w:b/>
        </w:rPr>
      </w:pPr>
      <w:r w:rsidRPr="002C0867">
        <w:rPr>
          <w:b/>
        </w:rPr>
        <w:t>Trustees</w:t>
      </w:r>
      <w:r w:rsidR="00664FC4" w:rsidRPr="002C0867">
        <w:rPr>
          <w:b/>
        </w:rPr>
        <w:t>’</w:t>
      </w:r>
      <w:r w:rsidRPr="002C0867">
        <w:rPr>
          <w:b/>
        </w:rPr>
        <w:t xml:space="preserve"> </w:t>
      </w:r>
      <w:r w:rsidR="00165045">
        <w:rPr>
          <w:b/>
        </w:rPr>
        <w:t>a</w:t>
      </w:r>
      <w:r w:rsidRPr="002C0867">
        <w:rPr>
          <w:b/>
        </w:rPr>
        <w:t>ssessment</w:t>
      </w:r>
    </w:p>
    <w:p w14:paraId="10F9F89F" w14:textId="77777777" w:rsidR="007B0419" w:rsidRPr="00140254" w:rsidRDefault="007B0419" w:rsidP="007B0419">
      <w:r w:rsidRPr="00140254">
        <w:t xml:space="preserve">The </w:t>
      </w:r>
      <w:r>
        <w:t xml:space="preserve">Trustees </w:t>
      </w:r>
      <w:r w:rsidRPr="00140254">
        <w:t xml:space="preserve">have undertaken a review of </w:t>
      </w:r>
      <w:r>
        <w:t>the</w:t>
      </w:r>
      <w:r w:rsidRPr="00140254">
        <w:t xml:space="preserve"> investment manager’s engagement policy including </w:t>
      </w:r>
      <w:r>
        <w:t>its</w:t>
      </w:r>
      <w:r w:rsidRPr="00140254">
        <w:t xml:space="preserve"> policies in relation to financially material considerations.</w:t>
      </w:r>
      <w:r w:rsidRPr="00140254" w:rsidDel="002039A3">
        <w:t xml:space="preserve"> </w:t>
      </w:r>
    </w:p>
    <w:p w14:paraId="60C39F63" w14:textId="25D33FA6" w:rsidR="007B0419" w:rsidRPr="00140254" w:rsidRDefault="007B0419" w:rsidP="007B0419">
      <w:r w:rsidRPr="00140254">
        <w:t xml:space="preserve">The </w:t>
      </w:r>
      <w:r>
        <w:t>Trustees</w:t>
      </w:r>
      <w:r w:rsidRPr="00140254">
        <w:t xml:space="preserve"> </w:t>
      </w:r>
      <w:r>
        <w:t>may also request</w:t>
      </w:r>
      <w:r w:rsidRPr="00140254">
        <w:t xml:space="preserve"> the environmental, social and governance rating for each fund provided by the investment consultant, which includes consideration of voting and/or engagement activities. This also includes those funds that do not hold listed equities.</w:t>
      </w:r>
      <w:r w:rsidRPr="00140254" w:rsidDel="002039A3">
        <w:t xml:space="preserve"> </w:t>
      </w:r>
    </w:p>
    <w:p w14:paraId="4BC67893" w14:textId="77777777" w:rsidR="007B0419" w:rsidRPr="00140254" w:rsidRDefault="007B0419" w:rsidP="007B0419">
      <w:r w:rsidRPr="00140254">
        <w:t>The Trustee</w:t>
      </w:r>
      <w:r>
        <w:t>s</w:t>
      </w:r>
      <w:r w:rsidRPr="00140254">
        <w:t xml:space="preserve"> may also consider reports provided by other external ratings providers.</w:t>
      </w:r>
      <w:r w:rsidRPr="00140254" w:rsidDel="002039A3">
        <w:t xml:space="preserve"> </w:t>
      </w:r>
      <w:r w:rsidRPr="00140254">
        <w:t xml:space="preserve">The </w:t>
      </w:r>
      <w:r>
        <w:t>Trustees</w:t>
      </w:r>
      <w:r w:rsidRPr="00140254">
        <w:t xml:space="preserve"> have reviewed the investment manager</w:t>
      </w:r>
      <w:r>
        <w:t>’</w:t>
      </w:r>
      <w:r w:rsidRPr="00140254">
        <w:t xml:space="preserve">s policies relating to engagement and voting and how they have been implemented and have found them to be acceptable at the current time. </w:t>
      </w:r>
    </w:p>
    <w:p w14:paraId="180C708D" w14:textId="7422AE2A" w:rsidR="007B0419" w:rsidRDefault="007B0419" w:rsidP="007B0419">
      <w:r w:rsidRPr="00140254">
        <w:t>The Trustee</w:t>
      </w:r>
      <w:r>
        <w:t>s</w:t>
      </w:r>
      <w:r w:rsidRPr="00140254">
        <w:t xml:space="preserve"> recognise that engagement and voting policies, practices and reporting, will continue to evolve over time</w:t>
      </w:r>
      <w:r w:rsidR="00B53E9C">
        <w:t>.</w:t>
      </w:r>
    </w:p>
    <w:p w14:paraId="348F8ED2" w14:textId="29166DE8" w:rsidR="001740DD" w:rsidRDefault="004332D8" w:rsidP="001740DD">
      <w:pPr>
        <w:pStyle w:val="Heading2"/>
        <w:keepNext/>
      </w:pPr>
      <w:r>
        <w:t>A</w:t>
      </w:r>
      <w:r w:rsidR="001740DD" w:rsidRPr="00A04C07">
        <w:t>ppendix</w:t>
      </w:r>
    </w:p>
    <w:p w14:paraId="73ADEB83" w14:textId="77777777" w:rsidR="001740DD" w:rsidRPr="001740DD" w:rsidRDefault="001740DD" w:rsidP="000C3B01"/>
    <w:p w14:paraId="0266DD6B" w14:textId="10C36541" w:rsidR="001740DD" w:rsidRDefault="001740DD" w:rsidP="001740DD">
      <w:r>
        <w:t>A link to the engagement policy for the investment manager can be found here:</w:t>
      </w:r>
    </w:p>
    <w:tbl>
      <w:tblPr>
        <w:tblStyle w:val="TableGrid"/>
        <w:tblW w:w="0" w:type="auto"/>
        <w:tblLook w:val="04A0" w:firstRow="1" w:lastRow="0" w:firstColumn="1" w:lastColumn="0" w:noHBand="0" w:noVBand="1"/>
      </w:tblPr>
      <w:tblGrid>
        <w:gridCol w:w="3103"/>
        <w:gridCol w:w="5897"/>
      </w:tblGrid>
      <w:tr w:rsidR="001740DD" w:rsidRPr="003E2CDD" w14:paraId="3ED94C49" w14:textId="77777777" w:rsidTr="00C261B5">
        <w:trPr>
          <w:cnfStyle w:val="100000000000" w:firstRow="1" w:lastRow="0" w:firstColumn="0" w:lastColumn="0" w:oddVBand="0" w:evenVBand="0" w:oddHBand="0" w:evenHBand="0" w:firstRowFirstColumn="0" w:firstRowLastColumn="0" w:lastRowFirstColumn="0" w:lastRowLastColumn="0"/>
          <w:trHeight w:val="409"/>
        </w:trPr>
        <w:tc>
          <w:tcPr>
            <w:tcW w:w="3103" w:type="dxa"/>
            <w:shd w:val="clear" w:color="auto" w:fill="000000" w:themeFill="text1"/>
          </w:tcPr>
          <w:p w14:paraId="6879CBB2" w14:textId="77777777" w:rsidR="001740DD" w:rsidRPr="003E2CDD" w:rsidRDefault="001740DD" w:rsidP="00C261B5">
            <w:pPr>
              <w:spacing w:after="0"/>
              <w:rPr>
                <w:color w:val="FFFFFF" w:themeColor="background1"/>
              </w:rPr>
            </w:pPr>
            <w:r w:rsidRPr="003E2CDD">
              <w:rPr>
                <w:color w:val="FFFFFF" w:themeColor="background1"/>
              </w:rPr>
              <w:t>Investment manager</w:t>
            </w:r>
          </w:p>
        </w:tc>
        <w:tc>
          <w:tcPr>
            <w:tcW w:w="5897" w:type="dxa"/>
            <w:shd w:val="clear" w:color="auto" w:fill="000000" w:themeFill="text1"/>
          </w:tcPr>
          <w:p w14:paraId="23884C06" w14:textId="71808175" w:rsidR="001740DD" w:rsidRPr="003E2CDD" w:rsidRDefault="001740DD" w:rsidP="00C261B5">
            <w:pPr>
              <w:rPr>
                <w:noProof/>
                <w:color w:val="FFFFFF" w:themeColor="background1"/>
              </w:rPr>
            </w:pPr>
            <w:r w:rsidRPr="003E2CDD">
              <w:rPr>
                <w:noProof/>
                <w:color w:val="FFFFFF" w:themeColor="background1"/>
              </w:rPr>
              <w:t>Engagement Policy</w:t>
            </w:r>
          </w:p>
        </w:tc>
      </w:tr>
      <w:tr w:rsidR="001740DD" w:rsidRPr="003E2CDD" w14:paraId="3FD5251E" w14:textId="77777777" w:rsidTr="00C261B5">
        <w:trPr>
          <w:trHeight w:val="409"/>
        </w:trPr>
        <w:tc>
          <w:tcPr>
            <w:tcW w:w="3103" w:type="dxa"/>
          </w:tcPr>
          <w:p w14:paraId="315058A6" w14:textId="77777777" w:rsidR="001740DD" w:rsidRPr="003E2CDD" w:rsidRDefault="001740DD" w:rsidP="00C261B5">
            <w:pPr>
              <w:spacing w:after="0"/>
              <w:rPr>
                <w:sz w:val="18"/>
                <w:szCs w:val="18"/>
              </w:rPr>
            </w:pPr>
            <w:r w:rsidRPr="003E2CDD">
              <w:rPr>
                <w:sz w:val="18"/>
                <w:szCs w:val="18"/>
              </w:rPr>
              <w:lastRenderedPageBreak/>
              <w:t>Legal &amp; General Investment Management</w:t>
            </w:r>
          </w:p>
        </w:tc>
        <w:tc>
          <w:tcPr>
            <w:tcW w:w="5897" w:type="dxa"/>
          </w:tcPr>
          <w:p w14:paraId="7265A0C2" w14:textId="77777777" w:rsidR="001740DD" w:rsidRPr="003E2CDD" w:rsidRDefault="001740DD" w:rsidP="00C261B5">
            <w:pPr>
              <w:rPr>
                <w:sz w:val="18"/>
                <w:szCs w:val="18"/>
              </w:rPr>
            </w:pPr>
            <w:hyperlink r:id="rId11" w:history="1">
              <w:r w:rsidRPr="003E2CDD">
                <w:rPr>
                  <w:rStyle w:val="Hyperlink"/>
                  <w:sz w:val="18"/>
                  <w:szCs w:val="18"/>
                </w:rPr>
                <w:t>https://www.lgim.com/landg-assets/lgim/_document-library/capabilities/lgim-engagement-policy.pdf</w:t>
              </w:r>
            </w:hyperlink>
          </w:p>
        </w:tc>
      </w:tr>
    </w:tbl>
    <w:p w14:paraId="3131510B" w14:textId="77777777" w:rsidR="001740DD" w:rsidRDefault="001740DD" w:rsidP="00B206A0"/>
    <w:p w14:paraId="45CC342F" w14:textId="69F35D9D" w:rsidR="001740DD" w:rsidRDefault="00E91484" w:rsidP="00E91484">
      <w:r w:rsidRPr="00483257">
        <w:t xml:space="preserve">Information on the most significant votes for each of the funds containing public equities as at 31 March </w:t>
      </w:r>
      <w:r w:rsidR="0075001D" w:rsidRPr="00483257">
        <w:t>2024</w:t>
      </w:r>
      <w:r w:rsidRPr="00483257">
        <w:t xml:space="preserve"> is shown below:</w:t>
      </w:r>
    </w:p>
    <w:p w14:paraId="7A7FF1CE" w14:textId="77777777" w:rsidR="00291F18" w:rsidRDefault="00291F18" w:rsidP="00E91484"/>
    <w:tbl>
      <w:tblPr>
        <w:tblStyle w:val="TableGrid"/>
        <w:tblpPr w:leftFromText="180" w:rightFromText="180" w:vertAnchor="text" w:tblpY="1"/>
        <w:tblOverlap w:val="never"/>
        <w:tblW w:w="9383" w:type="dxa"/>
        <w:tblInd w:w="0" w:type="dxa"/>
        <w:tblLook w:val="04A0" w:firstRow="1" w:lastRow="0" w:firstColumn="1" w:lastColumn="0" w:noHBand="0" w:noVBand="1"/>
      </w:tblPr>
      <w:tblGrid>
        <w:gridCol w:w="72"/>
        <w:gridCol w:w="2255"/>
        <w:gridCol w:w="72"/>
        <w:gridCol w:w="2256"/>
        <w:gridCol w:w="72"/>
        <w:gridCol w:w="2256"/>
        <w:gridCol w:w="72"/>
        <w:gridCol w:w="2256"/>
        <w:gridCol w:w="72"/>
      </w:tblGrid>
      <w:tr w:rsidR="00E91484" w14:paraId="59BE80CC" w14:textId="77777777" w:rsidTr="005C0A33">
        <w:trPr>
          <w:gridBefore w:val="1"/>
          <w:cnfStyle w:val="100000000000" w:firstRow="1" w:lastRow="0" w:firstColumn="0" w:lastColumn="0" w:oddVBand="0" w:evenVBand="0" w:oddHBand="0" w:evenHBand="0" w:firstRowFirstColumn="0" w:firstRowLastColumn="0" w:lastRowFirstColumn="0" w:lastRowLastColumn="0"/>
          <w:wBefore w:w="72" w:type="dxa"/>
        </w:trPr>
        <w:tc>
          <w:tcPr>
            <w:tcW w:w="2327" w:type="dxa"/>
            <w:gridSpan w:val="2"/>
          </w:tcPr>
          <w:p w14:paraId="4A026689" w14:textId="77777777" w:rsidR="00E91484" w:rsidRDefault="00E91484" w:rsidP="005C0A33">
            <w:pPr>
              <w:pStyle w:val="TableTextNoSpace"/>
            </w:pPr>
            <w:r w:rsidRPr="00D8085F">
              <w:t>LGIM UK Equity Index</w:t>
            </w:r>
          </w:p>
        </w:tc>
        <w:tc>
          <w:tcPr>
            <w:tcW w:w="2328" w:type="dxa"/>
            <w:gridSpan w:val="2"/>
          </w:tcPr>
          <w:p w14:paraId="592483FD" w14:textId="77777777" w:rsidR="00E91484" w:rsidRDefault="00E91484" w:rsidP="005C0A33">
            <w:pPr>
              <w:pStyle w:val="TableTextNoSpace"/>
            </w:pPr>
            <w:r>
              <w:t>Vote 1</w:t>
            </w:r>
          </w:p>
        </w:tc>
        <w:tc>
          <w:tcPr>
            <w:tcW w:w="2328" w:type="dxa"/>
            <w:gridSpan w:val="2"/>
          </w:tcPr>
          <w:p w14:paraId="68E8622A" w14:textId="77777777" w:rsidR="00E91484" w:rsidRDefault="00E91484" w:rsidP="005C0A33">
            <w:pPr>
              <w:pStyle w:val="TableTextNoSpace"/>
            </w:pPr>
            <w:r>
              <w:t>Vote 2</w:t>
            </w:r>
          </w:p>
        </w:tc>
        <w:tc>
          <w:tcPr>
            <w:tcW w:w="2328" w:type="dxa"/>
            <w:gridSpan w:val="2"/>
          </w:tcPr>
          <w:p w14:paraId="360ADC9F" w14:textId="77777777" w:rsidR="00E91484" w:rsidRDefault="00E91484" w:rsidP="005C0A33">
            <w:pPr>
              <w:pStyle w:val="TableTextNoSpace"/>
            </w:pPr>
            <w:r>
              <w:t>Vote 3</w:t>
            </w:r>
          </w:p>
        </w:tc>
      </w:tr>
      <w:tr w:rsidR="00287418" w14:paraId="2C9D9253" w14:textId="77777777" w:rsidTr="005C0A33">
        <w:trPr>
          <w:gridBefore w:val="1"/>
          <w:wBefore w:w="72" w:type="dxa"/>
        </w:trPr>
        <w:tc>
          <w:tcPr>
            <w:tcW w:w="2327" w:type="dxa"/>
            <w:gridSpan w:val="2"/>
          </w:tcPr>
          <w:p w14:paraId="7C60056C" w14:textId="77777777" w:rsidR="00287418" w:rsidRDefault="00287418" w:rsidP="00287418">
            <w:pPr>
              <w:pStyle w:val="TableTextNoSpace"/>
            </w:pPr>
            <w:r>
              <w:t>Company name</w:t>
            </w:r>
          </w:p>
        </w:tc>
        <w:tc>
          <w:tcPr>
            <w:tcW w:w="2328" w:type="dxa"/>
            <w:gridSpan w:val="2"/>
          </w:tcPr>
          <w:p w14:paraId="0ABCEEFB" w14:textId="385B3078" w:rsidR="00287418" w:rsidRDefault="00287418" w:rsidP="00287418">
            <w:pPr>
              <w:pStyle w:val="TableTextNoSpace"/>
            </w:pPr>
            <w:r w:rsidRPr="00BB10BD">
              <w:t>Shell Plc</w:t>
            </w:r>
          </w:p>
        </w:tc>
        <w:tc>
          <w:tcPr>
            <w:tcW w:w="2328" w:type="dxa"/>
            <w:gridSpan w:val="2"/>
          </w:tcPr>
          <w:p w14:paraId="0D28D8A5" w14:textId="1D5F3CAB" w:rsidR="00287418" w:rsidRDefault="00287418" w:rsidP="00287418">
            <w:pPr>
              <w:pStyle w:val="TableTextNoSpace"/>
            </w:pPr>
            <w:r w:rsidRPr="00BB10BD">
              <w:t>BP Plc</w:t>
            </w:r>
          </w:p>
        </w:tc>
        <w:tc>
          <w:tcPr>
            <w:tcW w:w="2328" w:type="dxa"/>
            <w:gridSpan w:val="2"/>
          </w:tcPr>
          <w:p w14:paraId="730BF406" w14:textId="69A73420" w:rsidR="00287418" w:rsidRDefault="00287418" w:rsidP="00287418">
            <w:pPr>
              <w:pStyle w:val="TableTextNoSpace"/>
            </w:pPr>
            <w:r w:rsidRPr="00BB10BD">
              <w:t>Glencore Plc</w:t>
            </w:r>
          </w:p>
        </w:tc>
      </w:tr>
      <w:tr w:rsidR="00287418" w14:paraId="4E6C750E" w14:textId="77777777" w:rsidTr="005C0A33">
        <w:trPr>
          <w:gridBefore w:val="1"/>
          <w:wBefore w:w="72" w:type="dxa"/>
        </w:trPr>
        <w:tc>
          <w:tcPr>
            <w:tcW w:w="2327" w:type="dxa"/>
            <w:gridSpan w:val="2"/>
          </w:tcPr>
          <w:p w14:paraId="340355A4" w14:textId="77777777" w:rsidR="00287418" w:rsidRDefault="00287418" w:rsidP="00287418">
            <w:pPr>
              <w:pStyle w:val="TableTextNoSpace"/>
            </w:pPr>
            <w:r>
              <w:t>Date of Vote</w:t>
            </w:r>
          </w:p>
        </w:tc>
        <w:tc>
          <w:tcPr>
            <w:tcW w:w="2328" w:type="dxa"/>
            <w:gridSpan w:val="2"/>
          </w:tcPr>
          <w:p w14:paraId="7EF94619" w14:textId="43E4A70B" w:rsidR="00287418" w:rsidRDefault="00287418" w:rsidP="00287418">
            <w:pPr>
              <w:pStyle w:val="TableTextNoSpace"/>
            </w:pPr>
            <w:r>
              <w:t>23/05/2023</w:t>
            </w:r>
          </w:p>
        </w:tc>
        <w:tc>
          <w:tcPr>
            <w:tcW w:w="2328" w:type="dxa"/>
            <w:gridSpan w:val="2"/>
          </w:tcPr>
          <w:p w14:paraId="3C031EE6" w14:textId="4F422CB6" w:rsidR="00287418" w:rsidRDefault="00287418" w:rsidP="00287418">
            <w:pPr>
              <w:pStyle w:val="TableTextNoSpace"/>
            </w:pPr>
            <w:r>
              <w:t>27/04/2023</w:t>
            </w:r>
          </w:p>
        </w:tc>
        <w:tc>
          <w:tcPr>
            <w:tcW w:w="2328" w:type="dxa"/>
            <w:gridSpan w:val="2"/>
          </w:tcPr>
          <w:p w14:paraId="5EC53418" w14:textId="59841882" w:rsidR="00287418" w:rsidRDefault="00287418" w:rsidP="00287418">
            <w:pPr>
              <w:pStyle w:val="TableTextNoSpace"/>
            </w:pPr>
            <w:r>
              <w:t>26/05/2023</w:t>
            </w:r>
          </w:p>
        </w:tc>
      </w:tr>
      <w:tr w:rsidR="00287418" w14:paraId="45FF7A50" w14:textId="77777777" w:rsidTr="005C0A33">
        <w:trPr>
          <w:gridAfter w:val="1"/>
          <w:wAfter w:w="72" w:type="dxa"/>
        </w:trPr>
        <w:tc>
          <w:tcPr>
            <w:tcW w:w="2327" w:type="dxa"/>
            <w:gridSpan w:val="2"/>
          </w:tcPr>
          <w:p w14:paraId="31D368FD" w14:textId="77777777" w:rsidR="00287418" w:rsidRDefault="00287418" w:rsidP="00287418">
            <w:pPr>
              <w:pStyle w:val="TableTextNoSpace"/>
            </w:pPr>
            <w:r>
              <w:t>Approximate size of fund’s holding as at the date of the vote (as % of portfolio)</w:t>
            </w:r>
          </w:p>
        </w:tc>
        <w:tc>
          <w:tcPr>
            <w:tcW w:w="2328" w:type="dxa"/>
            <w:gridSpan w:val="2"/>
          </w:tcPr>
          <w:p w14:paraId="166F6FA7" w14:textId="3BAD10E3" w:rsidR="00287418" w:rsidRDefault="00287418" w:rsidP="00287418">
            <w:pPr>
              <w:pStyle w:val="TableTextNoSpace"/>
            </w:pPr>
            <w:r w:rsidRPr="00530FC7">
              <w:t>7</w:t>
            </w:r>
            <w:r>
              <w:t>.0</w:t>
            </w:r>
          </w:p>
        </w:tc>
        <w:tc>
          <w:tcPr>
            <w:tcW w:w="2328" w:type="dxa"/>
            <w:gridSpan w:val="2"/>
          </w:tcPr>
          <w:p w14:paraId="4C1B26EB" w14:textId="000F74A6" w:rsidR="00287418" w:rsidRDefault="00287418" w:rsidP="00287418">
            <w:pPr>
              <w:pStyle w:val="TableTextNoSpace"/>
            </w:pPr>
            <w:r w:rsidRPr="00530FC7">
              <w:t>3.</w:t>
            </w:r>
            <w:r>
              <w:t>8</w:t>
            </w:r>
          </w:p>
        </w:tc>
        <w:tc>
          <w:tcPr>
            <w:tcW w:w="2328" w:type="dxa"/>
            <w:gridSpan w:val="2"/>
          </w:tcPr>
          <w:p w14:paraId="48B0E9A0" w14:textId="6BFABF45" w:rsidR="00287418" w:rsidRDefault="00287418" w:rsidP="00287418">
            <w:pPr>
              <w:pStyle w:val="TableTextNoSpace"/>
            </w:pPr>
            <w:r w:rsidRPr="00530FC7">
              <w:t>2.</w:t>
            </w:r>
            <w:r>
              <w:t>4</w:t>
            </w:r>
          </w:p>
        </w:tc>
      </w:tr>
      <w:tr w:rsidR="00287418" w14:paraId="3C0D73E1" w14:textId="77777777" w:rsidTr="005C0A33">
        <w:trPr>
          <w:gridBefore w:val="1"/>
          <w:wBefore w:w="72" w:type="dxa"/>
        </w:trPr>
        <w:tc>
          <w:tcPr>
            <w:tcW w:w="2327" w:type="dxa"/>
            <w:gridSpan w:val="2"/>
          </w:tcPr>
          <w:p w14:paraId="75042B12" w14:textId="77777777" w:rsidR="00287418" w:rsidRDefault="00287418" w:rsidP="00287418">
            <w:pPr>
              <w:pStyle w:val="TableTextNoSpace"/>
            </w:pPr>
            <w:r>
              <w:t>Summary of the resolution</w:t>
            </w:r>
          </w:p>
        </w:tc>
        <w:tc>
          <w:tcPr>
            <w:tcW w:w="2328" w:type="dxa"/>
            <w:gridSpan w:val="2"/>
          </w:tcPr>
          <w:p w14:paraId="3BF553D7" w14:textId="0D88B866" w:rsidR="00287418" w:rsidRDefault="00287418" w:rsidP="00287418">
            <w:pPr>
              <w:pStyle w:val="TableTextNoSpace"/>
            </w:pPr>
            <w:r w:rsidRPr="00557792">
              <w:t>Resolution 25 - Approve the Shell Energy Transition Progress</w:t>
            </w:r>
          </w:p>
        </w:tc>
        <w:tc>
          <w:tcPr>
            <w:tcW w:w="2328" w:type="dxa"/>
            <w:gridSpan w:val="2"/>
          </w:tcPr>
          <w:p w14:paraId="4D9E3426" w14:textId="5116EBC2" w:rsidR="00287418" w:rsidRDefault="00287418" w:rsidP="00287418">
            <w:pPr>
              <w:pStyle w:val="TableTextNoSpace"/>
            </w:pPr>
            <w:r w:rsidRPr="00557792">
              <w:t>Resolution 4 - Re-elect Helge Lund as Director</w:t>
            </w:r>
          </w:p>
        </w:tc>
        <w:tc>
          <w:tcPr>
            <w:tcW w:w="2328" w:type="dxa"/>
            <w:gridSpan w:val="2"/>
          </w:tcPr>
          <w:p w14:paraId="494375DD" w14:textId="775F4EFC" w:rsidR="00287418" w:rsidRDefault="00287418" w:rsidP="00287418">
            <w:pPr>
              <w:pStyle w:val="TableTextNoSpace"/>
            </w:pPr>
            <w:r w:rsidRPr="00557792">
              <w:t>Resolution 19: Shareholder resolution “Resolution in Respect of the Next Climate Action Transition Plan”</w:t>
            </w:r>
          </w:p>
        </w:tc>
      </w:tr>
      <w:tr w:rsidR="00287418" w14:paraId="70D8B637" w14:textId="77777777" w:rsidTr="005C0A33">
        <w:trPr>
          <w:gridBefore w:val="1"/>
          <w:wBefore w:w="72" w:type="dxa"/>
        </w:trPr>
        <w:tc>
          <w:tcPr>
            <w:tcW w:w="2327" w:type="dxa"/>
            <w:gridSpan w:val="2"/>
          </w:tcPr>
          <w:p w14:paraId="6B235B59" w14:textId="77777777" w:rsidR="00287418" w:rsidRDefault="00287418" w:rsidP="00287418">
            <w:pPr>
              <w:pStyle w:val="TableTextNoSpace"/>
            </w:pPr>
            <w:r>
              <w:t>How the fund manager voted</w:t>
            </w:r>
          </w:p>
        </w:tc>
        <w:tc>
          <w:tcPr>
            <w:tcW w:w="2328" w:type="dxa"/>
            <w:gridSpan w:val="2"/>
          </w:tcPr>
          <w:p w14:paraId="467452A7" w14:textId="1E660DC3" w:rsidR="00287418" w:rsidRDefault="00287418" w:rsidP="00287418">
            <w:pPr>
              <w:pStyle w:val="TableTextNoSpace"/>
            </w:pPr>
            <w:r w:rsidRPr="0099381F">
              <w:t>Against (against management recommendation)</w:t>
            </w:r>
          </w:p>
        </w:tc>
        <w:tc>
          <w:tcPr>
            <w:tcW w:w="2328" w:type="dxa"/>
            <w:gridSpan w:val="2"/>
          </w:tcPr>
          <w:p w14:paraId="7793AB1A" w14:textId="4C2AC130" w:rsidR="00287418" w:rsidRDefault="00287418" w:rsidP="00287418">
            <w:pPr>
              <w:pStyle w:val="TableTextNoSpace"/>
            </w:pPr>
            <w:r w:rsidRPr="0099381F">
              <w:t>Against (against management recommendation)</w:t>
            </w:r>
          </w:p>
        </w:tc>
        <w:tc>
          <w:tcPr>
            <w:tcW w:w="2328" w:type="dxa"/>
            <w:gridSpan w:val="2"/>
          </w:tcPr>
          <w:p w14:paraId="77180DDC" w14:textId="41C8D8A7" w:rsidR="00287418" w:rsidRDefault="00287418" w:rsidP="00287418">
            <w:pPr>
              <w:pStyle w:val="TableTextNoSpace"/>
            </w:pPr>
            <w:r w:rsidRPr="0099381F">
              <w:t>For (</w:t>
            </w:r>
            <w:r w:rsidR="00CA0038">
              <w:t>against</w:t>
            </w:r>
            <w:r w:rsidR="00250C30">
              <w:t xml:space="preserve"> </w:t>
            </w:r>
            <w:r w:rsidRPr="0099381F">
              <w:t>Management Recommendation)</w:t>
            </w:r>
          </w:p>
        </w:tc>
      </w:tr>
      <w:tr w:rsidR="00287418" w14:paraId="40E81C95" w14:textId="77777777" w:rsidTr="005C0A33">
        <w:trPr>
          <w:gridBefore w:val="1"/>
          <w:wBefore w:w="72" w:type="dxa"/>
        </w:trPr>
        <w:tc>
          <w:tcPr>
            <w:tcW w:w="2327" w:type="dxa"/>
            <w:gridSpan w:val="2"/>
          </w:tcPr>
          <w:p w14:paraId="44D36194" w14:textId="77777777" w:rsidR="00287418" w:rsidRDefault="00287418" w:rsidP="00287418">
            <w:pPr>
              <w:pStyle w:val="TableTextNoSpace"/>
            </w:pPr>
            <w:r>
              <w:t>Where the fund manager voted against management, did they communicate their intent to the company ahead of the vote</w:t>
            </w:r>
          </w:p>
        </w:tc>
        <w:tc>
          <w:tcPr>
            <w:tcW w:w="2328" w:type="dxa"/>
            <w:gridSpan w:val="2"/>
          </w:tcPr>
          <w:p w14:paraId="7C533F82" w14:textId="4A1E05CC" w:rsidR="00287418" w:rsidRDefault="00287418" w:rsidP="00287418">
            <w:pPr>
              <w:pStyle w:val="TableTextNoSpace"/>
            </w:pPr>
            <w:r w:rsidRPr="0081305C">
              <w:t xml:space="preserve">LGIM publicly communicates its vote instructions on its website the day after the company meeting, with a rationale for all votes against management. It is </w:t>
            </w:r>
            <w:r>
              <w:t>their</w:t>
            </w:r>
            <w:r w:rsidRPr="0081305C">
              <w:t xml:space="preserve"> policy not to engage with </w:t>
            </w:r>
            <w:r>
              <w:t>their</w:t>
            </w:r>
            <w:r w:rsidRPr="0081305C">
              <w:t xml:space="preserve"> investee companies </w:t>
            </w:r>
            <w:r w:rsidRPr="0081305C">
              <w:lastRenderedPageBreak/>
              <w:t xml:space="preserve">in the three weeks prior to an AGM as </w:t>
            </w:r>
            <w:r>
              <w:t>their</w:t>
            </w:r>
            <w:r w:rsidRPr="0081305C">
              <w:t xml:space="preserve"> engagement is not limited to shareholder meeting topics.</w:t>
            </w:r>
          </w:p>
        </w:tc>
        <w:tc>
          <w:tcPr>
            <w:tcW w:w="2328" w:type="dxa"/>
            <w:gridSpan w:val="2"/>
          </w:tcPr>
          <w:p w14:paraId="20B848C7" w14:textId="7CD1499C" w:rsidR="00287418" w:rsidRDefault="00287418" w:rsidP="00287418">
            <w:pPr>
              <w:pStyle w:val="TableTextNoSpace"/>
            </w:pPr>
            <w:r w:rsidRPr="0081305C">
              <w:lastRenderedPageBreak/>
              <w:t xml:space="preserve">LGIM publicly communicates its vote instructions on its website the day after the company meeting, with a rationale for all votes against management. It is </w:t>
            </w:r>
            <w:r>
              <w:t>their</w:t>
            </w:r>
            <w:r w:rsidRPr="0081305C">
              <w:t xml:space="preserve"> policy not to engage with </w:t>
            </w:r>
            <w:r>
              <w:t>their</w:t>
            </w:r>
            <w:r w:rsidRPr="0081305C">
              <w:t xml:space="preserve"> investee companies </w:t>
            </w:r>
            <w:r w:rsidRPr="0081305C">
              <w:lastRenderedPageBreak/>
              <w:t xml:space="preserve">in the three weeks prior to an AGM as </w:t>
            </w:r>
            <w:r>
              <w:t>their</w:t>
            </w:r>
            <w:r w:rsidRPr="0081305C">
              <w:t xml:space="preserve"> engagement is not limited to shareholder meeting topics.</w:t>
            </w:r>
          </w:p>
        </w:tc>
        <w:tc>
          <w:tcPr>
            <w:tcW w:w="2328" w:type="dxa"/>
            <w:gridSpan w:val="2"/>
          </w:tcPr>
          <w:p w14:paraId="58CCB928" w14:textId="735A1D72" w:rsidR="00287418" w:rsidRDefault="00287418" w:rsidP="00287418">
            <w:pPr>
              <w:pStyle w:val="TableTextNoSpace"/>
            </w:pPr>
            <w:r w:rsidRPr="0081305C">
              <w:lastRenderedPageBreak/>
              <w:t>LGIM co-filed this shareholder resolution and pre-declared its vote intention for this meeting on the LGIM Blog. As part of this process, there was regular communication with the company ahead of the meeting.</w:t>
            </w:r>
          </w:p>
        </w:tc>
      </w:tr>
      <w:tr w:rsidR="00287418" w14:paraId="7CAB281C" w14:textId="77777777" w:rsidTr="005C0A33">
        <w:trPr>
          <w:gridBefore w:val="1"/>
          <w:wBefore w:w="72" w:type="dxa"/>
          <w:trHeight w:val="486"/>
        </w:trPr>
        <w:tc>
          <w:tcPr>
            <w:tcW w:w="2327" w:type="dxa"/>
            <w:gridSpan w:val="2"/>
          </w:tcPr>
          <w:p w14:paraId="239D4CEF" w14:textId="77777777" w:rsidR="00287418" w:rsidRDefault="00287418" w:rsidP="00287418">
            <w:pPr>
              <w:pStyle w:val="TableTextNoSpace"/>
            </w:pPr>
            <w:r>
              <w:t>Rationale for the voting decision</w:t>
            </w:r>
          </w:p>
        </w:tc>
        <w:tc>
          <w:tcPr>
            <w:tcW w:w="2328" w:type="dxa"/>
            <w:gridSpan w:val="2"/>
          </w:tcPr>
          <w:p w14:paraId="649D2744" w14:textId="40D9AD61" w:rsidR="00287418" w:rsidRDefault="00287418" w:rsidP="00287418">
            <w:pPr>
              <w:pStyle w:val="TableTextNoSpace"/>
            </w:pPr>
            <w:r w:rsidRPr="00BD3BE8">
              <w:t xml:space="preserve">Climate change: A vote against </w:t>
            </w:r>
            <w:r w:rsidR="00B952FF">
              <w:t>was</w:t>
            </w:r>
            <w:r w:rsidRPr="00BD3BE8">
              <w:t xml:space="preserve"> applied, though not without reservations. </w:t>
            </w:r>
            <w:r>
              <w:t>LGIM</w:t>
            </w:r>
            <w:r w:rsidRPr="00BD3BE8">
              <w:t xml:space="preserve"> </w:t>
            </w:r>
            <w:r w:rsidR="00B952FF" w:rsidRPr="00BD3BE8">
              <w:t>acknowledge</w:t>
            </w:r>
            <w:r w:rsidR="00B952FF">
              <w:t>s</w:t>
            </w:r>
            <w:r w:rsidRPr="00BD3BE8">
              <w:t xml:space="preserve"> the substantial progress made by the company in meeting its 2021 climate commitments and welcome the company</w:t>
            </w:r>
            <w:r>
              <w:t>’</w:t>
            </w:r>
            <w:r w:rsidRPr="00BD3BE8">
              <w:t>s leadership in pursuing low carbon products.</w:t>
            </w:r>
            <w:r>
              <w:t xml:space="preserve"> </w:t>
            </w:r>
            <w:r w:rsidRPr="00BD3BE8">
              <w:t xml:space="preserve">However, </w:t>
            </w:r>
            <w:r>
              <w:t>LGIM</w:t>
            </w:r>
            <w:r w:rsidRPr="00BD3BE8">
              <w:t xml:space="preserve"> remain concerned by the lack of disclosure surrounding future oil and gas production plans and targets associated with the upstream and downstream operations; both of these are key areas to demonstrate alignment with the 1.5C trajectory.</w:t>
            </w:r>
          </w:p>
        </w:tc>
        <w:tc>
          <w:tcPr>
            <w:tcW w:w="2328" w:type="dxa"/>
            <w:gridSpan w:val="2"/>
          </w:tcPr>
          <w:p w14:paraId="7BF84F9D" w14:textId="2D99F030" w:rsidR="00287418" w:rsidRDefault="00287418" w:rsidP="00287418">
            <w:pPr>
              <w:pStyle w:val="TableTextNoSpace"/>
            </w:pPr>
            <w:r w:rsidRPr="00BD3BE8">
              <w:t xml:space="preserve">Governance: A vote against </w:t>
            </w:r>
            <w:r w:rsidR="00B952FF">
              <w:t>was</w:t>
            </w:r>
            <w:r w:rsidRPr="00BD3BE8">
              <w:t xml:space="preserve"> applied due to governance and board accountability concerns. Given the revision of the company’s oil production targets, shareholders expect to be given the opportunity to vote on the company’s amended climate transition strategy at the 2023 AGM. Additionally, </w:t>
            </w:r>
            <w:r>
              <w:t>LGIM</w:t>
            </w:r>
            <w:r w:rsidRPr="00BD3BE8">
              <w:t xml:space="preserve"> note</w:t>
            </w:r>
            <w:r>
              <w:t>s</w:t>
            </w:r>
            <w:r w:rsidRPr="00BD3BE8">
              <w:t xml:space="preserve"> concerns around the governance processes leading to the decision to implement such amendments.</w:t>
            </w:r>
          </w:p>
        </w:tc>
        <w:tc>
          <w:tcPr>
            <w:tcW w:w="2328" w:type="dxa"/>
            <w:gridSpan w:val="2"/>
          </w:tcPr>
          <w:p w14:paraId="00133A2B" w14:textId="00B78B81" w:rsidR="00287418" w:rsidRDefault="00287418" w:rsidP="00287418">
            <w:pPr>
              <w:pStyle w:val="TableTextNoSpace"/>
            </w:pPr>
            <w:r w:rsidRPr="00BD3BE8">
              <w:t xml:space="preserve">In 2021, Glencore made a public commitment to align its targets and ambition with the goals of the Paris Agreement. However, it remains unclear how the company’s planned thermal coal production aligns with global demand for thermal coal under a 1.5°C scenario. Therefore, LGIM has co-filed this shareholder proposal (alongside Ethos Foundation) at Glencore’s 2023 AGM, calling for disclosure on how the company’s thermal coal production plans and capital allocation decisions are aligned with the Paris objectives. This proposal was filed as an organic escalation following our multi-year discussions with the </w:t>
            </w:r>
            <w:r w:rsidRPr="00BD3BE8">
              <w:lastRenderedPageBreak/>
              <w:t>company since 2016 on its approach to the energy transition.</w:t>
            </w:r>
          </w:p>
        </w:tc>
      </w:tr>
      <w:tr w:rsidR="00287418" w14:paraId="1F47B32C" w14:textId="77777777" w:rsidTr="005C0A33">
        <w:trPr>
          <w:gridBefore w:val="1"/>
          <w:wBefore w:w="72" w:type="dxa"/>
        </w:trPr>
        <w:tc>
          <w:tcPr>
            <w:tcW w:w="2327" w:type="dxa"/>
            <w:gridSpan w:val="2"/>
          </w:tcPr>
          <w:p w14:paraId="4D2EA59F" w14:textId="6B2DD2AF" w:rsidR="00287418" w:rsidRDefault="00287418" w:rsidP="00287418">
            <w:pPr>
              <w:pStyle w:val="TableTextNoSpace"/>
            </w:pPr>
            <w:r>
              <w:lastRenderedPageBreak/>
              <w:t>Outcome of the vote (%)</w:t>
            </w:r>
          </w:p>
        </w:tc>
        <w:tc>
          <w:tcPr>
            <w:tcW w:w="2328" w:type="dxa"/>
            <w:gridSpan w:val="2"/>
          </w:tcPr>
          <w:p w14:paraId="11949829" w14:textId="2708F611" w:rsidR="00287418" w:rsidRDefault="00287418" w:rsidP="00287418">
            <w:pPr>
              <w:pStyle w:val="TableTextNoSpace"/>
            </w:pPr>
            <w:r w:rsidRPr="00FE1A82">
              <w:rPr>
                <w:rFonts w:cstheme="minorHAnsi"/>
                <w:color w:val="000000"/>
              </w:rPr>
              <w:t>80% (Pass)</w:t>
            </w:r>
          </w:p>
        </w:tc>
        <w:tc>
          <w:tcPr>
            <w:tcW w:w="2328" w:type="dxa"/>
            <w:gridSpan w:val="2"/>
          </w:tcPr>
          <w:p w14:paraId="0C9E16BE" w14:textId="0885944A" w:rsidR="00287418" w:rsidRDefault="00287418" w:rsidP="00287418">
            <w:pPr>
              <w:pStyle w:val="TableTextNoSpace"/>
            </w:pPr>
            <w:r>
              <w:rPr>
                <w:rFonts w:cstheme="minorHAnsi"/>
              </w:rPr>
              <w:t>N/A</w:t>
            </w:r>
          </w:p>
        </w:tc>
        <w:tc>
          <w:tcPr>
            <w:tcW w:w="2328" w:type="dxa"/>
            <w:gridSpan w:val="2"/>
          </w:tcPr>
          <w:p w14:paraId="27DB3331" w14:textId="3152577B" w:rsidR="00287418" w:rsidRDefault="00287418" w:rsidP="00287418">
            <w:pPr>
              <w:pStyle w:val="TableTextNoSpace"/>
            </w:pPr>
            <w:r w:rsidRPr="00FE1A82">
              <w:rPr>
                <w:rFonts w:cstheme="minorHAnsi"/>
                <w:color w:val="000000"/>
              </w:rPr>
              <w:t>29.2% (Fail)</w:t>
            </w:r>
          </w:p>
        </w:tc>
      </w:tr>
      <w:tr w:rsidR="00287418" w14:paraId="7CA940A9" w14:textId="77777777" w:rsidTr="005C0A33">
        <w:trPr>
          <w:gridBefore w:val="1"/>
          <w:wBefore w:w="72" w:type="dxa"/>
          <w:trHeight w:val="448"/>
        </w:trPr>
        <w:tc>
          <w:tcPr>
            <w:tcW w:w="2327" w:type="dxa"/>
            <w:gridSpan w:val="2"/>
          </w:tcPr>
          <w:p w14:paraId="1CB166B1" w14:textId="77777777" w:rsidR="00287418" w:rsidRDefault="00287418" w:rsidP="00287418">
            <w:pPr>
              <w:pStyle w:val="TableTextNoSpace"/>
            </w:pPr>
            <w:r>
              <w:t>Implications of the outcome</w:t>
            </w:r>
          </w:p>
        </w:tc>
        <w:tc>
          <w:tcPr>
            <w:tcW w:w="2328" w:type="dxa"/>
            <w:gridSpan w:val="2"/>
          </w:tcPr>
          <w:p w14:paraId="5CBD679F" w14:textId="4ED0641E" w:rsidR="00287418" w:rsidRDefault="00287418" w:rsidP="00287418">
            <w:pPr>
              <w:pStyle w:val="TableTextNoSpace"/>
            </w:pPr>
            <w:r w:rsidRPr="009B60F2">
              <w:t>LGIM continues to undertake extensive engagement with Shell on its climate transition plans</w:t>
            </w:r>
          </w:p>
        </w:tc>
        <w:tc>
          <w:tcPr>
            <w:tcW w:w="2328" w:type="dxa"/>
            <w:gridSpan w:val="2"/>
          </w:tcPr>
          <w:p w14:paraId="693D1800" w14:textId="2536D9A6" w:rsidR="00287418" w:rsidRDefault="00287418" w:rsidP="00287418">
            <w:pPr>
              <w:pStyle w:val="TableTextNoSpace"/>
            </w:pPr>
            <w:r w:rsidRPr="009B60F2">
              <w:t>LGIM will continue to engage with the company and monitor progress.</w:t>
            </w:r>
          </w:p>
        </w:tc>
        <w:tc>
          <w:tcPr>
            <w:tcW w:w="2328" w:type="dxa"/>
            <w:gridSpan w:val="2"/>
          </w:tcPr>
          <w:p w14:paraId="67CE9EA6" w14:textId="68E02D95" w:rsidR="00287418" w:rsidRDefault="00287418" w:rsidP="00287418">
            <w:pPr>
              <w:pStyle w:val="TableTextNoSpace"/>
            </w:pPr>
            <w:r w:rsidRPr="009B60F2">
              <w:t>LGIM will continue to engage with the company and monitor progress.</w:t>
            </w:r>
          </w:p>
        </w:tc>
      </w:tr>
      <w:tr w:rsidR="00287418" w14:paraId="750D50A7" w14:textId="77777777" w:rsidTr="005C0A33">
        <w:trPr>
          <w:gridBefore w:val="1"/>
          <w:wBefore w:w="72" w:type="dxa"/>
        </w:trPr>
        <w:tc>
          <w:tcPr>
            <w:tcW w:w="2327" w:type="dxa"/>
            <w:gridSpan w:val="2"/>
          </w:tcPr>
          <w:p w14:paraId="042284FD" w14:textId="77777777" w:rsidR="00287418" w:rsidRDefault="00287418" w:rsidP="00287418">
            <w:pPr>
              <w:pStyle w:val="TableTextNoSpace"/>
            </w:pPr>
            <w:r>
              <w:t>Criteria on which the vote is assessed to be “most significant”</w:t>
            </w:r>
          </w:p>
        </w:tc>
        <w:tc>
          <w:tcPr>
            <w:tcW w:w="2328" w:type="dxa"/>
            <w:gridSpan w:val="2"/>
          </w:tcPr>
          <w:p w14:paraId="3B549F79" w14:textId="332B628D" w:rsidR="00287418" w:rsidRDefault="00287418" w:rsidP="00287418">
            <w:pPr>
              <w:pStyle w:val="TableTextNoSpace"/>
            </w:pPr>
            <w:r w:rsidRPr="00CA5AD2">
              <w:t>Thematic - Climate: LGIM is publicly supportive of so called "Say on Climate" votes.</w:t>
            </w:r>
            <w:r>
              <w:t xml:space="preserve"> LGIM</w:t>
            </w:r>
            <w:r w:rsidRPr="00CA5AD2">
              <w:t xml:space="preserve"> expect</w:t>
            </w:r>
            <w:r>
              <w:t>s</w:t>
            </w:r>
            <w:r w:rsidRPr="00CA5AD2">
              <w:t xml:space="preserve"> transition plans put forward by companies to be both ambitious and credibly aligned to a 1.5C scenario.</w:t>
            </w:r>
            <w:r>
              <w:t xml:space="preserve"> </w:t>
            </w:r>
            <w:r w:rsidRPr="00CA5AD2">
              <w:t>Given the high-profile of such votes, LGIM deem such votes to be significant, particularly when LGIM votes against the transition plan.</w:t>
            </w:r>
          </w:p>
        </w:tc>
        <w:tc>
          <w:tcPr>
            <w:tcW w:w="2328" w:type="dxa"/>
            <w:gridSpan w:val="2"/>
          </w:tcPr>
          <w:p w14:paraId="3876BC53" w14:textId="1468124B" w:rsidR="00287418" w:rsidRDefault="00287418" w:rsidP="00287418">
            <w:pPr>
              <w:pStyle w:val="TableTextNoSpace"/>
            </w:pPr>
            <w:r w:rsidRPr="00CA5AD2">
              <w:t xml:space="preserve">High Profile Meeting and Engagement: </w:t>
            </w:r>
            <w:r>
              <w:t>LGIM</w:t>
            </w:r>
            <w:r w:rsidRPr="00CA5AD2">
              <w:t xml:space="preserve"> consider</w:t>
            </w:r>
            <w:r>
              <w:t>s</w:t>
            </w:r>
            <w:r w:rsidRPr="00CA5AD2">
              <w:t xml:space="preserve"> this vote to be significant given </w:t>
            </w:r>
            <w:r>
              <w:t>their</w:t>
            </w:r>
            <w:r w:rsidRPr="00CA5AD2">
              <w:t xml:space="preserve"> long-standing engagement with the company on the issue of climate.</w:t>
            </w:r>
          </w:p>
        </w:tc>
        <w:tc>
          <w:tcPr>
            <w:tcW w:w="2328" w:type="dxa"/>
            <w:gridSpan w:val="2"/>
          </w:tcPr>
          <w:p w14:paraId="3E238E0D" w14:textId="26278900" w:rsidR="00287418" w:rsidRDefault="00287418" w:rsidP="00287418">
            <w:pPr>
              <w:pStyle w:val="TableTextNoSpace"/>
            </w:pPr>
            <w:r w:rsidRPr="00CA5AD2">
              <w:t xml:space="preserve">Pre-declaration and Engagement: LGIM considers this vote to be significant as LGIM co-filed this shareholder resolution as an escalation of </w:t>
            </w:r>
            <w:r>
              <w:t>their</w:t>
            </w:r>
            <w:r w:rsidRPr="00CA5AD2">
              <w:t xml:space="preserve"> </w:t>
            </w:r>
            <w:r w:rsidR="00532DD9" w:rsidRPr="00CA5AD2">
              <w:t>engagement</w:t>
            </w:r>
            <w:r w:rsidRPr="00CA5AD2">
              <w:t xml:space="preserve"> activity, targeting some of the </w:t>
            </w:r>
            <w:proofErr w:type="spellStart"/>
            <w:r w:rsidRPr="00CA5AD2">
              <w:t>word's</w:t>
            </w:r>
            <w:proofErr w:type="spellEnd"/>
            <w:r w:rsidRPr="00CA5AD2">
              <w:t xml:space="preserve"> largest companies on their strategic management of climate change.</w:t>
            </w:r>
          </w:p>
        </w:tc>
      </w:tr>
    </w:tbl>
    <w:p w14:paraId="1ADBFEE5" w14:textId="77777777" w:rsidR="00E91484" w:rsidRDefault="00E91484" w:rsidP="00E91484"/>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2089"/>
        <w:gridCol w:w="2639"/>
        <w:gridCol w:w="2175"/>
        <w:gridCol w:w="2480"/>
      </w:tblGrid>
      <w:tr w:rsidR="00E91484" w14:paraId="0D4AFAB6" w14:textId="77777777" w:rsidTr="00287418">
        <w:trPr>
          <w:cnfStyle w:val="100000000000" w:firstRow="1" w:lastRow="0" w:firstColumn="0" w:lastColumn="0" w:oddVBand="0" w:evenVBand="0" w:oddHBand="0" w:evenHBand="0" w:firstRowFirstColumn="0" w:firstRowLastColumn="0" w:lastRowFirstColumn="0" w:lastRowLastColumn="0"/>
        </w:trPr>
        <w:tc>
          <w:tcPr>
            <w:tcW w:w="2089" w:type="dxa"/>
          </w:tcPr>
          <w:p w14:paraId="04CE6426" w14:textId="77777777" w:rsidR="00E91484" w:rsidRDefault="00E91484" w:rsidP="005C0A33">
            <w:pPr>
              <w:pStyle w:val="TableTextNoSpace"/>
            </w:pPr>
            <w:r w:rsidRPr="008A4557">
              <w:t>LGIM World (ex-UK) Equity Index and LGIM World (ex-UK) Equity Index - GBP Hedged</w:t>
            </w:r>
          </w:p>
        </w:tc>
        <w:tc>
          <w:tcPr>
            <w:tcW w:w="2639" w:type="dxa"/>
          </w:tcPr>
          <w:p w14:paraId="7CE4A7D2" w14:textId="77777777" w:rsidR="00E91484" w:rsidRDefault="00E91484" w:rsidP="005C0A33">
            <w:pPr>
              <w:pStyle w:val="TableTextNoSpace"/>
            </w:pPr>
            <w:r>
              <w:t>Vote 1</w:t>
            </w:r>
          </w:p>
        </w:tc>
        <w:tc>
          <w:tcPr>
            <w:tcW w:w="2175" w:type="dxa"/>
          </w:tcPr>
          <w:p w14:paraId="6B070EF5" w14:textId="77777777" w:rsidR="00E91484" w:rsidRDefault="00E91484" w:rsidP="005C0A33">
            <w:pPr>
              <w:pStyle w:val="TableTextNoSpace"/>
            </w:pPr>
            <w:r>
              <w:t>Vote 2</w:t>
            </w:r>
          </w:p>
        </w:tc>
        <w:tc>
          <w:tcPr>
            <w:tcW w:w="2480" w:type="dxa"/>
          </w:tcPr>
          <w:p w14:paraId="08D5CDF6" w14:textId="77777777" w:rsidR="00E91484" w:rsidRDefault="00E91484" w:rsidP="005C0A33">
            <w:pPr>
              <w:pStyle w:val="TableTextNoSpace"/>
            </w:pPr>
            <w:r>
              <w:t>Vote 3</w:t>
            </w:r>
          </w:p>
        </w:tc>
      </w:tr>
      <w:tr w:rsidR="00287418" w14:paraId="2F2DE6E0" w14:textId="77777777" w:rsidTr="00287418">
        <w:tc>
          <w:tcPr>
            <w:tcW w:w="2089" w:type="dxa"/>
          </w:tcPr>
          <w:p w14:paraId="1080CF45" w14:textId="77777777" w:rsidR="00287418" w:rsidRDefault="00287418" w:rsidP="00287418">
            <w:pPr>
              <w:pStyle w:val="TableTextNoSpace"/>
            </w:pPr>
            <w:r>
              <w:lastRenderedPageBreak/>
              <w:t>Company name</w:t>
            </w:r>
          </w:p>
        </w:tc>
        <w:tc>
          <w:tcPr>
            <w:tcW w:w="2639" w:type="dxa"/>
          </w:tcPr>
          <w:p w14:paraId="389C318E" w14:textId="6B41C30E" w:rsidR="00287418" w:rsidRDefault="00287418" w:rsidP="00287418">
            <w:pPr>
              <w:pStyle w:val="TableTextNoSpace"/>
            </w:pPr>
            <w:r w:rsidRPr="008F3257">
              <w:t>Microsoft Corporation</w:t>
            </w:r>
          </w:p>
        </w:tc>
        <w:tc>
          <w:tcPr>
            <w:tcW w:w="2175" w:type="dxa"/>
          </w:tcPr>
          <w:p w14:paraId="5B25E3DC" w14:textId="54E4EF8A" w:rsidR="00287418" w:rsidRDefault="00287418" w:rsidP="00287418">
            <w:pPr>
              <w:pStyle w:val="TableTextNoSpace"/>
            </w:pPr>
            <w:r w:rsidRPr="008F3257">
              <w:t>Apple Inc.</w:t>
            </w:r>
          </w:p>
        </w:tc>
        <w:tc>
          <w:tcPr>
            <w:tcW w:w="2480" w:type="dxa"/>
          </w:tcPr>
          <w:p w14:paraId="57A34F81" w14:textId="6DC659EC" w:rsidR="00287418" w:rsidRDefault="00287418" w:rsidP="00287418">
            <w:pPr>
              <w:pStyle w:val="TableTextNoSpace"/>
            </w:pPr>
            <w:r w:rsidRPr="008F3257">
              <w:t>Amazon.com, Inc.</w:t>
            </w:r>
          </w:p>
        </w:tc>
      </w:tr>
      <w:tr w:rsidR="00287418" w14:paraId="5C7E2130" w14:textId="77777777" w:rsidTr="00287418">
        <w:tc>
          <w:tcPr>
            <w:tcW w:w="2089" w:type="dxa"/>
          </w:tcPr>
          <w:p w14:paraId="0EFEDF24" w14:textId="77777777" w:rsidR="00287418" w:rsidRDefault="00287418" w:rsidP="00287418">
            <w:pPr>
              <w:pStyle w:val="TableTextNoSpace"/>
            </w:pPr>
            <w:r>
              <w:t>Date of Vote</w:t>
            </w:r>
          </w:p>
        </w:tc>
        <w:tc>
          <w:tcPr>
            <w:tcW w:w="2639" w:type="dxa"/>
          </w:tcPr>
          <w:p w14:paraId="62C331A8" w14:textId="2CA904E9" w:rsidR="00287418" w:rsidRDefault="00287418" w:rsidP="00287418">
            <w:pPr>
              <w:pStyle w:val="TableTextNoSpace"/>
            </w:pPr>
            <w:r>
              <w:t>07/12/2023</w:t>
            </w:r>
          </w:p>
        </w:tc>
        <w:tc>
          <w:tcPr>
            <w:tcW w:w="2175" w:type="dxa"/>
          </w:tcPr>
          <w:p w14:paraId="7554E21B" w14:textId="64B5DBB0" w:rsidR="00287418" w:rsidRDefault="00287418" w:rsidP="00287418">
            <w:pPr>
              <w:pStyle w:val="TableTextNoSpace"/>
            </w:pPr>
            <w:r>
              <w:t>28/02/2024</w:t>
            </w:r>
          </w:p>
        </w:tc>
        <w:tc>
          <w:tcPr>
            <w:tcW w:w="2480" w:type="dxa"/>
          </w:tcPr>
          <w:p w14:paraId="54730B1C" w14:textId="05A8C859" w:rsidR="00287418" w:rsidRDefault="00287418" w:rsidP="00287418">
            <w:pPr>
              <w:pStyle w:val="TableTextNoSpace"/>
            </w:pPr>
            <w:r>
              <w:t>24/05/2023</w:t>
            </w:r>
          </w:p>
        </w:tc>
      </w:tr>
      <w:tr w:rsidR="00E91484" w14:paraId="71B020FA" w14:textId="77777777" w:rsidTr="00287418">
        <w:tc>
          <w:tcPr>
            <w:tcW w:w="2089" w:type="dxa"/>
          </w:tcPr>
          <w:p w14:paraId="6DCC1D7B" w14:textId="3AEF4792" w:rsidR="00E91484" w:rsidRDefault="00E91484" w:rsidP="005C0A33">
            <w:pPr>
              <w:pStyle w:val="TableTextNoSpace"/>
            </w:pPr>
            <w:r>
              <w:t xml:space="preserve">Approximate size of </w:t>
            </w:r>
            <w:r w:rsidRPr="00A1056F">
              <w:t xml:space="preserve">LGIM World (ex-UK) Equity Index </w:t>
            </w:r>
            <w:r w:rsidR="00B62E9B">
              <w:t>F</w:t>
            </w:r>
            <w:r>
              <w:t>und’s holding as at the date of the vote (as % of portfolio)</w:t>
            </w:r>
          </w:p>
        </w:tc>
        <w:tc>
          <w:tcPr>
            <w:tcW w:w="2639" w:type="dxa"/>
          </w:tcPr>
          <w:p w14:paraId="4A93D8DE" w14:textId="371AB10F" w:rsidR="00E91484" w:rsidRDefault="00287418" w:rsidP="005C0A33">
            <w:pPr>
              <w:pStyle w:val="TableTextNoSpace"/>
            </w:pPr>
            <w:r>
              <w:t>4.9</w:t>
            </w:r>
          </w:p>
        </w:tc>
        <w:tc>
          <w:tcPr>
            <w:tcW w:w="2175" w:type="dxa"/>
          </w:tcPr>
          <w:p w14:paraId="24F386C1" w14:textId="34C0D87F" w:rsidR="00E91484" w:rsidRDefault="00287418" w:rsidP="005C0A33">
            <w:pPr>
              <w:pStyle w:val="TableTextNoSpace"/>
            </w:pPr>
            <w:r>
              <w:t>4.4</w:t>
            </w:r>
          </w:p>
        </w:tc>
        <w:tc>
          <w:tcPr>
            <w:tcW w:w="2480" w:type="dxa"/>
          </w:tcPr>
          <w:p w14:paraId="2D85663E" w14:textId="21C15802" w:rsidR="00E91484" w:rsidRDefault="00287418" w:rsidP="005C0A33">
            <w:pPr>
              <w:pStyle w:val="TableTextNoSpace"/>
            </w:pPr>
            <w:r>
              <w:t>1.7</w:t>
            </w:r>
          </w:p>
        </w:tc>
      </w:tr>
      <w:tr w:rsidR="00287418" w14:paraId="47F6348E" w14:textId="77777777" w:rsidTr="00287418">
        <w:tc>
          <w:tcPr>
            <w:tcW w:w="2089" w:type="dxa"/>
          </w:tcPr>
          <w:p w14:paraId="72A9B6BF" w14:textId="55BF8630" w:rsidR="00287418" w:rsidRDefault="00287418" w:rsidP="00287418">
            <w:pPr>
              <w:pStyle w:val="TableTextNoSpace"/>
            </w:pPr>
            <w:r>
              <w:t xml:space="preserve">Approximate size of </w:t>
            </w:r>
            <w:r w:rsidRPr="00A1056F">
              <w:t xml:space="preserve">LGIM World (ex-UK) Equity Index </w:t>
            </w:r>
            <w:r>
              <w:t>Fund – GBP Currency Hedged</w:t>
            </w:r>
            <w:r w:rsidR="00532DD9">
              <w:t xml:space="preserve"> </w:t>
            </w:r>
            <w:r>
              <w:t xml:space="preserve"> holding as at the date of the vote (as % of portfolio)</w:t>
            </w:r>
          </w:p>
        </w:tc>
        <w:tc>
          <w:tcPr>
            <w:tcW w:w="2639" w:type="dxa"/>
          </w:tcPr>
          <w:p w14:paraId="73D4BEC9" w14:textId="43A213EA" w:rsidR="00287418" w:rsidRPr="00483257" w:rsidRDefault="00287418" w:rsidP="00287418">
            <w:pPr>
              <w:pStyle w:val="TableTextNoSpace"/>
            </w:pPr>
            <w:r w:rsidRPr="00483257">
              <w:t>4.</w:t>
            </w:r>
            <w:r w:rsidR="00B952FF" w:rsidRPr="00483257">
              <w:t>4</w:t>
            </w:r>
          </w:p>
        </w:tc>
        <w:tc>
          <w:tcPr>
            <w:tcW w:w="2175" w:type="dxa"/>
          </w:tcPr>
          <w:p w14:paraId="43A81988" w14:textId="0A3145A2" w:rsidR="00287418" w:rsidRPr="00483257" w:rsidRDefault="00B952FF" w:rsidP="00287418">
            <w:pPr>
              <w:pStyle w:val="TableTextNoSpace"/>
            </w:pPr>
            <w:r w:rsidRPr="00483257">
              <w:t>4.1</w:t>
            </w:r>
          </w:p>
        </w:tc>
        <w:tc>
          <w:tcPr>
            <w:tcW w:w="2480" w:type="dxa"/>
          </w:tcPr>
          <w:p w14:paraId="22E861A1" w14:textId="1F491200" w:rsidR="00287418" w:rsidRPr="00F13FDA" w:rsidRDefault="00287418" w:rsidP="00287418">
            <w:pPr>
              <w:pStyle w:val="TableTextNoSpace"/>
            </w:pPr>
            <w:r>
              <w:t>1.5</w:t>
            </w:r>
          </w:p>
        </w:tc>
      </w:tr>
      <w:tr w:rsidR="00287418" w14:paraId="4498DF37" w14:textId="77777777" w:rsidTr="00287418">
        <w:tc>
          <w:tcPr>
            <w:tcW w:w="2089" w:type="dxa"/>
          </w:tcPr>
          <w:p w14:paraId="0CEE0977" w14:textId="77777777" w:rsidR="00287418" w:rsidRDefault="00287418" w:rsidP="00287418">
            <w:pPr>
              <w:pStyle w:val="TableTextNoSpace"/>
            </w:pPr>
            <w:r>
              <w:t>Summary of the resolution</w:t>
            </w:r>
          </w:p>
        </w:tc>
        <w:tc>
          <w:tcPr>
            <w:tcW w:w="2639" w:type="dxa"/>
          </w:tcPr>
          <w:p w14:paraId="22EDCA69" w14:textId="51443BAD" w:rsidR="00287418" w:rsidRPr="009327C1" w:rsidRDefault="00287418" w:rsidP="00287418">
            <w:pPr>
              <w:pStyle w:val="TableTextNoSpace"/>
            </w:pPr>
            <w:r w:rsidRPr="00061CB9">
              <w:t>Resolution 1.06 - Elect Director Satya Nadella</w:t>
            </w:r>
          </w:p>
        </w:tc>
        <w:tc>
          <w:tcPr>
            <w:tcW w:w="2175" w:type="dxa"/>
          </w:tcPr>
          <w:p w14:paraId="177AF01E" w14:textId="41B24619" w:rsidR="00287418" w:rsidRPr="009327C1" w:rsidRDefault="00287418" w:rsidP="00287418">
            <w:pPr>
              <w:pStyle w:val="TableTextNoSpace"/>
            </w:pPr>
            <w:r w:rsidRPr="00061CB9">
              <w:t>Report on Risks of Omitting Viewpoint and Ideological Diversity from EEO Policy</w:t>
            </w:r>
          </w:p>
        </w:tc>
        <w:tc>
          <w:tcPr>
            <w:tcW w:w="2480" w:type="dxa"/>
          </w:tcPr>
          <w:p w14:paraId="625A7DCC" w14:textId="6F37F649" w:rsidR="00287418" w:rsidRPr="009327C1" w:rsidRDefault="00287418" w:rsidP="00287418">
            <w:pPr>
              <w:pStyle w:val="TableTextNoSpace"/>
            </w:pPr>
            <w:r w:rsidRPr="00061CB9">
              <w:t>Resolution 13 – Report on Median and Adjusted Gender/Racial Pay Gaps</w:t>
            </w:r>
          </w:p>
        </w:tc>
      </w:tr>
      <w:tr w:rsidR="00287418" w14:paraId="4A1F5C27" w14:textId="77777777" w:rsidTr="00287418">
        <w:tc>
          <w:tcPr>
            <w:tcW w:w="2089" w:type="dxa"/>
          </w:tcPr>
          <w:p w14:paraId="37B80E3B" w14:textId="77777777" w:rsidR="00287418" w:rsidRDefault="00287418" w:rsidP="00287418">
            <w:pPr>
              <w:pStyle w:val="TableTextNoSpace"/>
            </w:pPr>
            <w:r>
              <w:t>How the fund manager voted</w:t>
            </w:r>
          </w:p>
        </w:tc>
        <w:tc>
          <w:tcPr>
            <w:tcW w:w="2639" w:type="dxa"/>
          </w:tcPr>
          <w:p w14:paraId="2B06D1B0" w14:textId="50F03A1E" w:rsidR="00287418" w:rsidRDefault="00287418" w:rsidP="00287418">
            <w:pPr>
              <w:pStyle w:val="TableTextNoSpace"/>
            </w:pPr>
            <w:r w:rsidRPr="00A03CD1">
              <w:t>Against</w:t>
            </w:r>
          </w:p>
        </w:tc>
        <w:tc>
          <w:tcPr>
            <w:tcW w:w="2175" w:type="dxa"/>
          </w:tcPr>
          <w:p w14:paraId="3FA72820" w14:textId="2AF26472" w:rsidR="00287418" w:rsidRDefault="00287418" w:rsidP="00287418">
            <w:pPr>
              <w:pStyle w:val="TableTextNoSpace"/>
            </w:pPr>
            <w:r w:rsidRPr="00775D49">
              <w:t>Against</w:t>
            </w:r>
          </w:p>
        </w:tc>
        <w:tc>
          <w:tcPr>
            <w:tcW w:w="2480" w:type="dxa"/>
          </w:tcPr>
          <w:p w14:paraId="0ABB2FA4" w14:textId="2BE02574" w:rsidR="00287418" w:rsidRDefault="00287418" w:rsidP="00287418">
            <w:pPr>
              <w:pStyle w:val="TableTextNoSpace"/>
            </w:pPr>
            <w:r w:rsidRPr="00775D49">
              <w:t>For (Against Management Recommendation)</w:t>
            </w:r>
          </w:p>
        </w:tc>
      </w:tr>
      <w:tr w:rsidR="00287418" w14:paraId="3137ED59" w14:textId="77777777" w:rsidTr="00287418">
        <w:tc>
          <w:tcPr>
            <w:tcW w:w="2089" w:type="dxa"/>
          </w:tcPr>
          <w:p w14:paraId="301F1923" w14:textId="77777777" w:rsidR="00287418" w:rsidRDefault="00287418" w:rsidP="00287418">
            <w:pPr>
              <w:pStyle w:val="TableTextNoSpace"/>
            </w:pPr>
            <w:r>
              <w:t>Where the fund manager voted against management, did they communicate their intent to the company ahead of the vote</w:t>
            </w:r>
          </w:p>
        </w:tc>
        <w:tc>
          <w:tcPr>
            <w:tcW w:w="2639" w:type="dxa"/>
          </w:tcPr>
          <w:p w14:paraId="34142CCE" w14:textId="5758A9EC" w:rsidR="00287418" w:rsidRDefault="00287418" w:rsidP="00287418">
            <w:pPr>
              <w:pStyle w:val="TableTextNoSpace"/>
            </w:pPr>
            <w:r w:rsidRPr="00775B36">
              <w:t xml:space="preserve">LGIM publicly communicates its vote instructions on its website with the rationale for all votes against management. It is our policy not to engage with our investee companies in the three weeks prior to an AGM as our engagement is not </w:t>
            </w:r>
            <w:r w:rsidRPr="00775B36">
              <w:lastRenderedPageBreak/>
              <w:t>limited to shareholder meeting topics</w:t>
            </w:r>
            <w:r>
              <w:t>.</w:t>
            </w:r>
          </w:p>
        </w:tc>
        <w:tc>
          <w:tcPr>
            <w:tcW w:w="2175" w:type="dxa"/>
          </w:tcPr>
          <w:p w14:paraId="0507B38E" w14:textId="295203FC" w:rsidR="00287418" w:rsidRDefault="00287418" w:rsidP="00287418">
            <w:pPr>
              <w:pStyle w:val="TableTextNoSpace"/>
            </w:pPr>
            <w:r w:rsidRPr="00775B36">
              <w:lastRenderedPageBreak/>
              <w:t xml:space="preserve">LGIM publicly communicates its vote instructions on its website with the rationale for all votes against management. It is our policy not to engage with our investee companies in the three weeks prior </w:t>
            </w:r>
            <w:r w:rsidRPr="00775B36">
              <w:lastRenderedPageBreak/>
              <w:t>to an AGM as our engagement is not limited to shareholder meeting topics</w:t>
            </w:r>
            <w:r>
              <w:t>.</w:t>
            </w:r>
          </w:p>
        </w:tc>
        <w:tc>
          <w:tcPr>
            <w:tcW w:w="2480" w:type="dxa"/>
          </w:tcPr>
          <w:p w14:paraId="13800476" w14:textId="72802978" w:rsidR="00287418" w:rsidRDefault="00287418" w:rsidP="00287418">
            <w:pPr>
              <w:pStyle w:val="TableTextNoSpace"/>
            </w:pPr>
            <w:r w:rsidRPr="00775B36">
              <w:lastRenderedPageBreak/>
              <w:t>LGIM pre-declared its vote intention for this meeting on the LGIM Blog. As part of this process, a communication was set to the company ahead of the meeting.</w:t>
            </w:r>
          </w:p>
        </w:tc>
      </w:tr>
      <w:tr w:rsidR="00287418" w14:paraId="49E840C0" w14:textId="77777777" w:rsidTr="00287418">
        <w:tc>
          <w:tcPr>
            <w:tcW w:w="2089" w:type="dxa"/>
          </w:tcPr>
          <w:p w14:paraId="499937F0" w14:textId="77777777" w:rsidR="00287418" w:rsidRDefault="00287418" w:rsidP="00287418">
            <w:pPr>
              <w:pStyle w:val="TableTextNoSpace"/>
            </w:pPr>
            <w:r>
              <w:t>Rationale for the voting decision</w:t>
            </w:r>
          </w:p>
        </w:tc>
        <w:tc>
          <w:tcPr>
            <w:tcW w:w="2639" w:type="dxa"/>
          </w:tcPr>
          <w:p w14:paraId="1603CC67" w14:textId="622824D3" w:rsidR="00287418" w:rsidRDefault="00287418" w:rsidP="00287418">
            <w:pPr>
              <w:pStyle w:val="TableTextNoSpace"/>
            </w:pPr>
            <w:r w:rsidRPr="00212CBE">
              <w:t xml:space="preserve">Joint Chair/CEO: A vote against </w:t>
            </w:r>
            <w:r w:rsidR="00B952FF">
              <w:t>was</w:t>
            </w:r>
            <w:r w:rsidRPr="00212CBE">
              <w:t xml:space="preserve"> applied as LGIM expects companies to separate the roles of Chair and CEO due to risk management and oversight concerns.</w:t>
            </w:r>
          </w:p>
        </w:tc>
        <w:tc>
          <w:tcPr>
            <w:tcW w:w="2175" w:type="dxa"/>
          </w:tcPr>
          <w:p w14:paraId="2AC55992" w14:textId="1E77E8A8" w:rsidR="00287418" w:rsidRDefault="00287418" w:rsidP="00287418">
            <w:pPr>
              <w:pStyle w:val="TableTextNoSpace"/>
            </w:pPr>
            <w:r w:rsidRPr="00212CBE">
              <w:t>Shareholder Resolution - Environmental and Social: A vote AGAINST this proposal is warranted, as the company appears to be providing shareholders with sufficient disclosure around its diversity and inclusion efforts</w:t>
            </w:r>
            <w:r w:rsidR="00532DD9">
              <w:t xml:space="preserve"> a</w:t>
            </w:r>
            <w:r w:rsidRPr="00212CBE">
              <w:t xml:space="preserve">nd </w:t>
            </w:r>
            <w:r w:rsidR="00532DD9" w:rsidRPr="00212CBE">
              <w:t>non-discrimination</w:t>
            </w:r>
            <w:r w:rsidRPr="00212CBE">
              <w:t xml:space="preserve"> policies, and including viewpoint and ideology in EEO policies does not appear to be a standard industry practice.</w:t>
            </w:r>
          </w:p>
        </w:tc>
        <w:tc>
          <w:tcPr>
            <w:tcW w:w="2480" w:type="dxa"/>
          </w:tcPr>
          <w:p w14:paraId="7009FAD2" w14:textId="2CFB8A81" w:rsidR="00287418" w:rsidRDefault="00287418" w:rsidP="00287418">
            <w:pPr>
              <w:pStyle w:val="TableTextNoSpace"/>
            </w:pPr>
            <w:r w:rsidRPr="00DF2CA7">
              <w:t xml:space="preserve">A vote in favour </w:t>
            </w:r>
            <w:r w:rsidR="00B952FF">
              <w:t>was</w:t>
            </w:r>
            <w:r w:rsidRPr="00DF2CA7">
              <w:t xml:space="preserve"> applied as LGIM expects companies to disclose meaningful information on its gender pay gap and the initiatives it is applying to close any stated gap. This is an important disclosure so that investors can assess the progress of the company’s diversity and inclusion initiatives. Board diversity is an engagement and voting issue, as </w:t>
            </w:r>
            <w:r>
              <w:t>LGIM</w:t>
            </w:r>
            <w:r w:rsidRPr="00DF2CA7">
              <w:t xml:space="preserve"> believe</w:t>
            </w:r>
            <w:r>
              <w:t>s</w:t>
            </w:r>
            <w:r w:rsidRPr="00DF2CA7">
              <w:t xml:space="preserve"> cognitive diversity in business – the bringing together of people of different ages, experiences, genders, ethnicities, sexual orientations, and social and economic backgrounds – is a crucial step towards building a better company, economy and society.</w:t>
            </w:r>
          </w:p>
        </w:tc>
      </w:tr>
      <w:tr w:rsidR="00287418" w14:paraId="4274512F" w14:textId="77777777" w:rsidTr="00287418">
        <w:trPr>
          <w:trHeight w:val="486"/>
        </w:trPr>
        <w:tc>
          <w:tcPr>
            <w:tcW w:w="2089" w:type="dxa"/>
          </w:tcPr>
          <w:p w14:paraId="6E08E655" w14:textId="7A67EAB0" w:rsidR="00287418" w:rsidRDefault="00287418" w:rsidP="00287418">
            <w:pPr>
              <w:pStyle w:val="TableTextNoSpace"/>
            </w:pPr>
            <w:r>
              <w:t>Outcome of the vote (%)</w:t>
            </w:r>
          </w:p>
        </w:tc>
        <w:tc>
          <w:tcPr>
            <w:tcW w:w="2639" w:type="dxa"/>
          </w:tcPr>
          <w:p w14:paraId="667929E3" w14:textId="48FD4E9B" w:rsidR="00287418" w:rsidRDefault="00287418" w:rsidP="00287418">
            <w:pPr>
              <w:pStyle w:val="TableTextNoSpace"/>
            </w:pPr>
            <w:r w:rsidRPr="003B1DEE">
              <w:t>N/A</w:t>
            </w:r>
          </w:p>
        </w:tc>
        <w:tc>
          <w:tcPr>
            <w:tcW w:w="2175" w:type="dxa"/>
          </w:tcPr>
          <w:p w14:paraId="5148CF97" w14:textId="38BD5EAF" w:rsidR="00287418" w:rsidRDefault="00287418" w:rsidP="00287418">
            <w:pPr>
              <w:pStyle w:val="TableTextNoSpace"/>
            </w:pPr>
            <w:r w:rsidRPr="003B1DEE">
              <w:t>Fail</w:t>
            </w:r>
          </w:p>
        </w:tc>
        <w:tc>
          <w:tcPr>
            <w:tcW w:w="2480" w:type="dxa"/>
          </w:tcPr>
          <w:p w14:paraId="7150C3CC" w14:textId="39840F52" w:rsidR="00287418" w:rsidRDefault="00287418" w:rsidP="00287418">
            <w:pPr>
              <w:pStyle w:val="TableTextNoSpace"/>
            </w:pPr>
            <w:r w:rsidRPr="003B1DEE">
              <w:t>29% (Fail)</w:t>
            </w:r>
          </w:p>
        </w:tc>
      </w:tr>
      <w:tr w:rsidR="00287418" w14:paraId="3AD8E390" w14:textId="77777777" w:rsidTr="00287418">
        <w:tc>
          <w:tcPr>
            <w:tcW w:w="2089" w:type="dxa"/>
          </w:tcPr>
          <w:p w14:paraId="035B5D75" w14:textId="77777777" w:rsidR="00287418" w:rsidRDefault="00287418" w:rsidP="00287418">
            <w:pPr>
              <w:pStyle w:val="TableTextNoSpace"/>
            </w:pPr>
            <w:r>
              <w:lastRenderedPageBreak/>
              <w:t>Implications of the outcome</w:t>
            </w:r>
          </w:p>
        </w:tc>
        <w:tc>
          <w:tcPr>
            <w:tcW w:w="2639" w:type="dxa"/>
          </w:tcPr>
          <w:p w14:paraId="631CFBC3" w14:textId="606B3F54" w:rsidR="00287418" w:rsidRDefault="00287418" w:rsidP="00287418">
            <w:pPr>
              <w:pStyle w:val="TableTextNoSpace"/>
            </w:pPr>
            <w:r w:rsidRPr="0091103F">
              <w:t>LGIM will continue to engage with our investee companies, publicly advocate our position on this issue and monitor company and market-level progress. </w:t>
            </w:r>
          </w:p>
        </w:tc>
        <w:tc>
          <w:tcPr>
            <w:tcW w:w="2175" w:type="dxa"/>
          </w:tcPr>
          <w:p w14:paraId="69F352C3" w14:textId="7559F1C0" w:rsidR="00287418" w:rsidRDefault="00287418" w:rsidP="00287418">
            <w:pPr>
              <w:pStyle w:val="TableTextNoSpace"/>
            </w:pPr>
            <w:r w:rsidRPr="0091103F">
              <w:t>LGIM will continue to engage with our investee companies, publicly advocate our position on this issue and monitor company and market-level progress.</w:t>
            </w:r>
          </w:p>
        </w:tc>
        <w:tc>
          <w:tcPr>
            <w:tcW w:w="2480" w:type="dxa"/>
          </w:tcPr>
          <w:p w14:paraId="36BAE466" w14:textId="6F65B03A" w:rsidR="00287418" w:rsidRDefault="00287418" w:rsidP="00287418">
            <w:pPr>
              <w:pStyle w:val="TableTextNoSpace"/>
            </w:pPr>
            <w:r w:rsidRPr="0091103F">
              <w:t>LGIM will continue to engage with the company and monitor progress.</w:t>
            </w:r>
          </w:p>
        </w:tc>
      </w:tr>
      <w:tr w:rsidR="00287418" w14:paraId="2B1F4526" w14:textId="77777777" w:rsidTr="00287418">
        <w:trPr>
          <w:trHeight w:val="448"/>
        </w:trPr>
        <w:tc>
          <w:tcPr>
            <w:tcW w:w="2089" w:type="dxa"/>
          </w:tcPr>
          <w:p w14:paraId="2D9EE23B" w14:textId="77777777" w:rsidR="00287418" w:rsidRDefault="00287418" w:rsidP="00287418">
            <w:pPr>
              <w:pStyle w:val="TableTextNoSpace"/>
            </w:pPr>
            <w:r>
              <w:t>Criteria on which the vote is assessed to be “most significant”</w:t>
            </w:r>
          </w:p>
        </w:tc>
        <w:tc>
          <w:tcPr>
            <w:tcW w:w="2639" w:type="dxa"/>
          </w:tcPr>
          <w:p w14:paraId="4359BFE2" w14:textId="2B269FED" w:rsidR="00287418" w:rsidRDefault="00287418" w:rsidP="00287418">
            <w:pPr>
              <w:pStyle w:val="TableTextNoSpace"/>
            </w:pPr>
            <w:r w:rsidRPr="00EA098D">
              <w:t>Thematic - Board Leadership: LGIM considers this vote to be significant as it is in application of an escalation of our vote policy on the topic of the combination of the board chair and CEO. </w:t>
            </w:r>
          </w:p>
        </w:tc>
        <w:tc>
          <w:tcPr>
            <w:tcW w:w="2175" w:type="dxa"/>
          </w:tcPr>
          <w:p w14:paraId="652321C2" w14:textId="77F06834" w:rsidR="00287418" w:rsidRDefault="00287418" w:rsidP="00287418">
            <w:pPr>
              <w:pStyle w:val="TableTextNoSpace"/>
            </w:pPr>
            <w:r w:rsidRPr="00EA098D">
              <w:t xml:space="preserve">Thematic - Diversity: LGIM views diversity as a financially material issue for our clients, with implications for the assets </w:t>
            </w:r>
            <w:r>
              <w:t>LGIM</w:t>
            </w:r>
            <w:r w:rsidRPr="00EA098D">
              <w:t xml:space="preserve"> manage</w:t>
            </w:r>
            <w:r>
              <w:t>s</w:t>
            </w:r>
            <w:r w:rsidRPr="00EA098D">
              <w:t xml:space="preserve"> on their behalf.</w:t>
            </w:r>
          </w:p>
        </w:tc>
        <w:tc>
          <w:tcPr>
            <w:tcW w:w="2480" w:type="dxa"/>
          </w:tcPr>
          <w:p w14:paraId="0FD2F575" w14:textId="3CE4B50D" w:rsidR="00287418" w:rsidRDefault="00287418" w:rsidP="00287418">
            <w:pPr>
              <w:pStyle w:val="TableTextNoSpace"/>
            </w:pPr>
            <w:r w:rsidRPr="00EA098D">
              <w:t xml:space="preserve">Pre-declaration and Thematic – Diversity: LGIM views gender diversity as a financially material issue for our clients, with implications for the assets </w:t>
            </w:r>
            <w:r>
              <w:t>LGIM</w:t>
            </w:r>
            <w:r w:rsidRPr="00EA098D">
              <w:t xml:space="preserve"> manage</w:t>
            </w:r>
            <w:r>
              <w:t>s</w:t>
            </w:r>
            <w:r w:rsidRPr="00EA098D">
              <w:t xml:space="preserve"> on their behalf.</w:t>
            </w:r>
          </w:p>
        </w:tc>
      </w:tr>
    </w:tbl>
    <w:p w14:paraId="48C93AF0" w14:textId="586BD42F" w:rsidR="00A04C07" w:rsidRPr="003E2CDD" w:rsidRDefault="00A04C07" w:rsidP="00032985"/>
    <w:p w14:paraId="727D02D3" w14:textId="4D9EF734" w:rsidR="00B62E9B" w:rsidRDefault="00E91484" w:rsidP="00E91484">
      <w:r>
        <w:t xml:space="preserve">Information on the most significant engagement case studies LGIM </w:t>
      </w:r>
      <w:r w:rsidRPr="00A07F13">
        <w:t xml:space="preserve">participated in during the year ending </w:t>
      </w:r>
      <w:r>
        <w:t xml:space="preserve">31 December </w:t>
      </w:r>
      <w:r w:rsidR="0075001D">
        <w:t>2023</w:t>
      </w:r>
      <w:r>
        <w:t xml:space="preserve"> </w:t>
      </w:r>
      <w:r w:rsidR="00CA0038">
        <w:t xml:space="preserve">(latest available) </w:t>
      </w:r>
      <w:r>
        <w:t xml:space="preserve">is shown below. </w:t>
      </w:r>
    </w:p>
    <w:tbl>
      <w:tblPr>
        <w:tblStyle w:val="TableGrid"/>
        <w:tblW w:w="0" w:type="auto"/>
        <w:tblLook w:val="04A0" w:firstRow="1" w:lastRow="0" w:firstColumn="1" w:lastColumn="0" w:noHBand="0" w:noVBand="1"/>
      </w:tblPr>
      <w:tblGrid>
        <w:gridCol w:w="2314"/>
        <w:gridCol w:w="2319"/>
        <w:gridCol w:w="2358"/>
        <w:gridCol w:w="2320"/>
      </w:tblGrid>
      <w:tr w:rsidR="00B952FF" w14:paraId="359C86A9" w14:textId="77777777" w:rsidTr="005C0A33">
        <w:trPr>
          <w:cnfStyle w:val="100000000000" w:firstRow="1" w:lastRow="0" w:firstColumn="0" w:lastColumn="0" w:oddVBand="0" w:evenVBand="0" w:oddHBand="0" w:evenHBand="0" w:firstRowFirstColumn="0" w:firstRowLastColumn="0" w:lastRowFirstColumn="0" w:lastRowLastColumn="0"/>
        </w:trPr>
        <w:tc>
          <w:tcPr>
            <w:tcW w:w="2314" w:type="dxa"/>
          </w:tcPr>
          <w:p w14:paraId="22C2AFFF" w14:textId="5095282F" w:rsidR="00B952FF" w:rsidRPr="000C3B01" w:rsidRDefault="00B952FF" w:rsidP="00B952FF">
            <w:pPr>
              <w:rPr>
                <w:color w:val="auto"/>
              </w:rPr>
            </w:pPr>
            <w:r>
              <w:t>LGIM – Firm Level</w:t>
            </w:r>
          </w:p>
        </w:tc>
        <w:tc>
          <w:tcPr>
            <w:tcW w:w="2319" w:type="dxa"/>
          </w:tcPr>
          <w:p w14:paraId="21E69551" w14:textId="22366F8D" w:rsidR="00B952FF" w:rsidRPr="000C3B01" w:rsidRDefault="00B952FF" w:rsidP="00B952FF">
            <w:pPr>
              <w:rPr>
                <w:color w:val="auto"/>
              </w:rPr>
            </w:pPr>
            <w:r>
              <w:t>Case Study 1</w:t>
            </w:r>
          </w:p>
        </w:tc>
        <w:tc>
          <w:tcPr>
            <w:tcW w:w="2358" w:type="dxa"/>
          </w:tcPr>
          <w:p w14:paraId="25FB0970" w14:textId="1D6237CF" w:rsidR="00B952FF" w:rsidRPr="000C3B01" w:rsidRDefault="00B952FF" w:rsidP="00B952FF">
            <w:pPr>
              <w:rPr>
                <w:color w:val="auto"/>
              </w:rPr>
            </w:pPr>
            <w:r>
              <w:t>Case Study 2</w:t>
            </w:r>
          </w:p>
        </w:tc>
        <w:tc>
          <w:tcPr>
            <w:tcW w:w="2320" w:type="dxa"/>
          </w:tcPr>
          <w:p w14:paraId="2AA5CC54" w14:textId="5C03D3E5" w:rsidR="00B952FF" w:rsidRPr="000C3B01" w:rsidRDefault="00B952FF" w:rsidP="00B952FF">
            <w:pPr>
              <w:rPr>
                <w:color w:val="auto"/>
              </w:rPr>
            </w:pPr>
            <w:r>
              <w:t>Case Study 3</w:t>
            </w:r>
          </w:p>
        </w:tc>
      </w:tr>
      <w:tr w:rsidR="00B952FF" w14:paraId="0EB0E75B" w14:textId="77777777" w:rsidTr="00276869">
        <w:tc>
          <w:tcPr>
            <w:tcW w:w="2314" w:type="dxa"/>
          </w:tcPr>
          <w:p w14:paraId="268C3841" w14:textId="77777777" w:rsidR="00B952FF" w:rsidRDefault="00B952FF" w:rsidP="00B952FF">
            <w:r>
              <w:t>Name of entity engaged with</w:t>
            </w:r>
          </w:p>
        </w:tc>
        <w:tc>
          <w:tcPr>
            <w:tcW w:w="2319" w:type="dxa"/>
          </w:tcPr>
          <w:p w14:paraId="6C56E329" w14:textId="77777777" w:rsidR="00B952FF" w:rsidRDefault="00B952FF" w:rsidP="00B952FF">
            <w:r w:rsidRPr="00DE2EE5">
              <w:t xml:space="preserve">Aegon Ltd </w:t>
            </w:r>
          </w:p>
        </w:tc>
        <w:tc>
          <w:tcPr>
            <w:tcW w:w="2358" w:type="dxa"/>
          </w:tcPr>
          <w:p w14:paraId="5C559C05" w14:textId="77777777" w:rsidR="00B952FF" w:rsidRDefault="00B952FF" w:rsidP="00B952FF">
            <w:r w:rsidRPr="00DE2EE5">
              <w:t>Sainsbury's</w:t>
            </w:r>
          </w:p>
        </w:tc>
        <w:tc>
          <w:tcPr>
            <w:tcW w:w="2320" w:type="dxa"/>
          </w:tcPr>
          <w:p w14:paraId="5B4F5D08" w14:textId="77777777" w:rsidR="00B952FF" w:rsidRDefault="00B952FF" w:rsidP="00B952FF">
            <w:r w:rsidRPr="00DE2EE5">
              <w:t>Exxon Mobil</w:t>
            </w:r>
          </w:p>
        </w:tc>
      </w:tr>
      <w:tr w:rsidR="00B952FF" w14:paraId="10BB85FF" w14:textId="77777777" w:rsidTr="00276869">
        <w:tc>
          <w:tcPr>
            <w:tcW w:w="2314" w:type="dxa"/>
          </w:tcPr>
          <w:p w14:paraId="33A853AB" w14:textId="77777777" w:rsidR="00B952FF" w:rsidRDefault="00B952FF" w:rsidP="00B952FF">
            <w:r>
              <w:t xml:space="preserve">Topic </w:t>
            </w:r>
          </w:p>
        </w:tc>
        <w:tc>
          <w:tcPr>
            <w:tcW w:w="2319" w:type="dxa"/>
          </w:tcPr>
          <w:p w14:paraId="5B9E9725" w14:textId="77777777" w:rsidR="00B952FF" w:rsidRDefault="00B952FF" w:rsidP="00B952FF">
            <w:r w:rsidRPr="000B6B99">
              <w:t>Governance</w:t>
            </w:r>
          </w:p>
        </w:tc>
        <w:tc>
          <w:tcPr>
            <w:tcW w:w="2358" w:type="dxa"/>
          </w:tcPr>
          <w:p w14:paraId="6E193FFA" w14:textId="77777777" w:rsidR="00B952FF" w:rsidRDefault="00B952FF" w:rsidP="00B952FF">
            <w:r w:rsidRPr="000B6B99">
              <w:t>Social: Income inequality - living wage (diversity, equity and inclusion)</w:t>
            </w:r>
          </w:p>
        </w:tc>
        <w:tc>
          <w:tcPr>
            <w:tcW w:w="2320" w:type="dxa"/>
          </w:tcPr>
          <w:p w14:paraId="59B85C58" w14:textId="77777777" w:rsidR="00B952FF" w:rsidRDefault="00B952FF" w:rsidP="00B952FF">
            <w:r w:rsidRPr="000B6B99">
              <w:t>Environment: Climate change (Climate Impact Pledge)</w:t>
            </w:r>
          </w:p>
        </w:tc>
      </w:tr>
      <w:tr w:rsidR="00B952FF" w14:paraId="5CA0CF47" w14:textId="77777777" w:rsidTr="00276869">
        <w:tc>
          <w:tcPr>
            <w:tcW w:w="2314" w:type="dxa"/>
          </w:tcPr>
          <w:p w14:paraId="05103BF1" w14:textId="77777777" w:rsidR="00B952FF" w:rsidRDefault="00B952FF" w:rsidP="00B952FF">
            <w:pPr>
              <w:spacing w:after="0"/>
            </w:pPr>
            <w:r>
              <w:t xml:space="preserve">Rationale </w:t>
            </w:r>
          </w:p>
        </w:tc>
        <w:tc>
          <w:tcPr>
            <w:tcW w:w="2319" w:type="dxa"/>
          </w:tcPr>
          <w:p w14:paraId="5AD837C8" w14:textId="77777777" w:rsidR="00B952FF" w:rsidRPr="00955003" w:rsidRDefault="00B952FF" w:rsidP="00B952FF">
            <w:pPr>
              <w:spacing w:after="0"/>
            </w:pPr>
            <w:r w:rsidRPr="00955003">
              <w:t xml:space="preserve">"Following the disposal of Aegon Netherlands to ASR, Aegon no longer had insurance activities in the </w:t>
            </w:r>
            <w:r w:rsidRPr="00955003">
              <w:lastRenderedPageBreak/>
              <w:t>Netherlands. This transaction had transformed Aegon into an international insurance and asset management company. Since now over 99.5% of Aegon’s insurance businesses are not located in jurisdictions where Solvency II is the governing capital framework, Aegon made the decision to redomicile in Bermuda under the supervision of the Bermuda Supervision Authority (BMA). This required a vote by shareholders at an Extraordinary General Meeting on 30 September.</w:t>
            </w:r>
          </w:p>
          <w:p w14:paraId="33E0EC71" w14:textId="77777777" w:rsidR="00B952FF" w:rsidRPr="00955003" w:rsidRDefault="00B952FF" w:rsidP="00B952FF">
            <w:pPr>
              <w:spacing w:after="0"/>
            </w:pPr>
            <w:r w:rsidRPr="00955003">
              <w:t xml:space="preserve">While the business rationale was sound, the main concerns with this proposal for LGIM were that the new regulatory framework would adversely impacted shareholders rights, and potentially its capital position. The key issues included: 1) No pre-emptive </w:t>
            </w:r>
            <w:r w:rsidRPr="00955003">
              <w:lastRenderedPageBreak/>
              <w:t>rights for existing shareholders on the issuance of common shares; (2) No shareholder approval would be required for share buybacks; and (3) No shareholder approval would be required for annual final dividend payments, amongst other issues.</w:t>
            </w:r>
          </w:p>
          <w:p w14:paraId="56DB7D65" w14:textId="77777777" w:rsidR="00B952FF" w:rsidRDefault="00B952FF" w:rsidP="00B952FF">
            <w:pPr>
              <w:spacing w:after="0"/>
            </w:pPr>
            <w:r w:rsidRPr="00955003">
              <w:t xml:space="preserve">Consequently, </w:t>
            </w:r>
            <w:r>
              <w:t>LGIM</w:t>
            </w:r>
            <w:r w:rsidRPr="00955003">
              <w:t xml:space="preserve"> decided to engage with Aegon management team ahead of the EGM in order to highlight </w:t>
            </w:r>
            <w:r>
              <w:t>their</w:t>
            </w:r>
            <w:r w:rsidRPr="00955003">
              <w:t xml:space="preserve"> concerns on the weakening of shareholder rights under the proposed redomicile and amendments to the Company's Articles of Incorporation. Given concerns amongst investors and third-party service providers, such as ISS, </w:t>
            </w:r>
            <w:r>
              <w:t>LGIM</w:t>
            </w:r>
            <w:r w:rsidRPr="00955003">
              <w:t xml:space="preserve"> sought to lend </w:t>
            </w:r>
            <w:r>
              <w:t>their</w:t>
            </w:r>
            <w:r w:rsidRPr="00955003">
              <w:t xml:space="preserve"> voice to influence the proposals and push for enhanced shareholders rights ahead of the vote. Additionally, </w:t>
            </w:r>
            <w:r>
              <w:t>LGIM</w:t>
            </w:r>
            <w:r w:rsidRPr="00955003">
              <w:t xml:space="preserve"> wanted to better </w:t>
            </w:r>
            <w:r w:rsidRPr="00955003">
              <w:lastRenderedPageBreak/>
              <w:t>understand the impact of the new supervisory environment on the business to ensure that it would not adversely impact both creditors and shareholders."</w:t>
            </w:r>
          </w:p>
        </w:tc>
        <w:tc>
          <w:tcPr>
            <w:tcW w:w="2358" w:type="dxa"/>
          </w:tcPr>
          <w:p w14:paraId="3D667D6F" w14:textId="77777777" w:rsidR="00B952FF" w:rsidRPr="00955003" w:rsidRDefault="00B952FF" w:rsidP="00B952FF">
            <w:pPr>
              <w:spacing w:after="0"/>
            </w:pPr>
            <w:r w:rsidRPr="00955003">
              <w:lastRenderedPageBreak/>
              <w:t xml:space="preserve">"With over 600 supermarkets, more than 800 convenience stores, and nearly 190,000 employees, </w:t>
            </w:r>
            <w:r w:rsidRPr="00955003">
              <w:lastRenderedPageBreak/>
              <w:t xml:space="preserve">Sainsbury’s is the second largest supermarket in the UK. Although Sainsbury’s is currently paying higher wages than many other listed supermarkets, the company has been selected because it is more likely than many of its peers to be able to meet the requirements to become </w:t>
            </w:r>
            <w:proofErr w:type="gramStart"/>
            <w:r w:rsidRPr="00955003">
              <w:t>living-wage</w:t>
            </w:r>
            <w:proofErr w:type="gramEnd"/>
            <w:r w:rsidRPr="00955003">
              <w:t xml:space="preserve"> accredited.</w:t>
            </w:r>
          </w:p>
          <w:p w14:paraId="1FE6DAD3" w14:textId="77777777" w:rsidR="00B952FF" w:rsidRPr="00955003" w:rsidRDefault="00B952FF" w:rsidP="00B952FF">
            <w:pPr>
              <w:spacing w:after="0"/>
            </w:pPr>
            <w:r w:rsidRPr="00955003">
              <w:t xml:space="preserve">Ensuring companies take account of the ‘employee voice’ and that they are treating employees fairly in terms of pay and diversity and inclusion is an important aspect of </w:t>
            </w:r>
            <w:r>
              <w:t xml:space="preserve">their </w:t>
            </w:r>
            <w:r w:rsidRPr="00955003">
              <w:t xml:space="preserve">stewardship activities. As the cost of living ratchets up in the wake of the pandemic and amid soaring inflation in many parts of the world, </w:t>
            </w:r>
            <w:r>
              <w:t xml:space="preserve">their </w:t>
            </w:r>
            <w:r w:rsidRPr="00955003">
              <w:t xml:space="preserve">work on income inequality and </w:t>
            </w:r>
            <w:r>
              <w:t xml:space="preserve">their </w:t>
            </w:r>
            <w:r w:rsidRPr="00955003">
              <w:t xml:space="preserve">expectations of companies regarding the living wage have acquired </w:t>
            </w:r>
            <w:r w:rsidRPr="00955003">
              <w:lastRenderedPageBreak/>
              <w:t>a new level of urgency.</w:t>
            </w:r>
          </w:p>
          <w:p w14:paraId="76659FC6" w14:textId="77777777" w:rsidR="00B952FF" w:rsidRPr="00955003" w:rsidRDefault="00B952FF" w:rsidP="00B952FF">
            <w:pPr>
              <w:spacing w:after="0"/>
            </w:pPr>
            <w:r w:rsidRPr="00955003">
              <w:t>As a responsible investor, LGIM advocates that all companies should ensure that they are paying their employees a living wage and that this requirement should also be extended to all firms with whom they do business across their Tier 1 and ideally Tier 2, supply chains.</w:t>
            </w:r>
          </w:p>
          <w:p w14:paraId="33AF67F1" w14:textId="77777777" w:rsidR="00B952FF" w:rsidRPr="00955003" w:rsidRDefault="00B952FF" w:rsidP="00B952FF">
            <w:pPr>
              <w:spacing w:after="0"/>
            </w:pPr>
            <w:r>
              <w:t xml:space="preserve">LGIM </w:t>
            </w:r>
            <w:r w:rsidRPr="00955003">
              <w:t>expect</w:t>
            </w:r>
            <w:r>
              <w:t>s</w:t>
            </w:r>
            <w:r w:rsidRPr="00955003">
              <w:t xml:space="preserve"> the company board to challenge decisions to pay employees less than the living wage.</w:t>
            </w:r>
          </w:p>
          <w:p w14:paraId="6B334983" w14:textId="77777777" w:rsidR="00B952FF" w:rsidRPr="00955003" w:rsidRDefault="00B952FF" w:rsidP="00B952FF">
            <w:pPr>
              <w:spacing w:after="0"/>
            </w:pPr>
            <w:r>
              <w:t xml:space="preserve">LGIM </w:t>
            </w:r>
            <w:r w:rsidRPr="00955003">
              <w:t>ask</w:t>
            </w:r>
            <w:r>
              <w:t>s</w:t>
            </w:r>
            <w:r w:rsidRPr="00955003">
              <w:t xml:space="preserve"> the remuneration committee, when considering remuneration for executive directors, to consider the remuneration policy adopted for all employees.</w:t>
            </w:r>
          </w:p>
          <w:p w14:paraId="299812F0" w14:textId="77777777" w:rsidR="00B952FF" w:rsidRPr="00955003" w:rsidRDefault="00B952FF" w:rsidP="00B952FF">
            <w:pPr>
              <w:spacing w:after="0"/>
            </w:pPr>
            <w:r w:rsidRPr="00955003">
              <w:t xml:space="preserve">In the midst of the pandemic, </w:t>
            </w:r>
            <w:r>
              <w:t xml:space="preserve">LGIM </w:t>
            </w:r>
            <w:r w:rsidRPr="00955003">
              <w:t xml:space="preserve">went a step further by tightening </w:t>
            </w:r>
            <w:r>
              <w:t xml:space="preserve">their </w:t>
            </w:r>
            <w:r w:rsidRPr="00955003">
              <w:t xml:space="preserve">criteria of bonus payments to executives at companies where </w:t>
            </w:r>
            <w:r w:rsidRPr="00955003">
              <w:lastRenderedPageBreak/>
              <w:t>COVID-19 had resulted in mass employee lay-offs and the company had claimed financial assistance (such as participating in government-supported furlough schemes) in order to remain a going concern.</w:t>
            </w:r>
          </w:p>
          <w:p w14:paraId="4A1B4DD7" w14:textId="77777777" w:rsidR="00B952FF" w:rsidRDefault="00B952FF" w:rsidP="00B952FF">
            <w:pPr>
              <w:spacing w:after="0"/>
            </w:pPr>
            <w:r w:rsidRPr="00955003">
              <w:t>UN SDG 1: No poverty and SDG 8: Decent work and economic growth"</w:t>
            </w:r>
            <w:r w:rsidRPr="00955003" w:rsidDel="00955003">
              <w:t xml:space="preserve"> </w:t>
            </w:r>
          </w:p>
        </w:tc>
        <w:tc>
          <w:tcPr>
            <w:tcW w:w="2320" w:type="dxa"/>
          </w:tcPr>
          <w:p w14:paraId="148603FB" w14:textId="77777777" w:rsidR="00B952FF" w:rsidRPr="00955003" w:rsidRDefault="00B952FF" w:rsidP="00B952FF">
            <w:pPr>
              <w:spacing w:after="0"/>
            </w:pPr>
            <w:r w:rsidRPr="00955003">
              <w:lastRenderedPageBreak/>
              <w:t xml:space="preserve">"As one of the world's largest public oil and gas companies, </w:t>
            </w:r>
            <w:r>
              <w:t xml:space="preserve">LGIM </w:t>
            </w:r>
            <w:r w:rsidRPr="00955003">
              <w:t xml:space="preserve">believe that Exxon Mobil's climate </w:t>
            </w:r>
            <w:r w:rsidRPr="00955003">
              <w:lastRenderedPageBreak/>
              <w:t>policies, actions, disclosures and net zero transition plans have the potential for significant influence across the industry as a whole, and particularly in the US.</w:t>
            </w:r>
          </w:p>
          <w:p w14:paraId="7453639C" w14:textId="77777777" w:rsidR="00B952FF" w:rsidRPr="00955003" w:rsidRDefault="00B952FF" w:rsidP="00B952FF">
            <w:pPr>
              <w:spacing w:after="0"/>
            </w:pPr>
            <w:r w:rsidRPr="00955003">
              <w:t xml:space="preserve">At LGIM, </w:t>
            </w:r>
            <w:r>
              <w:t xml:space="preserve">LGIM </w:t>
            </w:r>
            <w:r w:rsidRPr="00955003">
              <w:t xml:space="preserve">believe that company engagement is a crucial part of transitioning to a net zero economy by 2050. Under </w:t>
            </w:r>
            <w:r>
              <w:t xml:space="preserve">their </w:t>
            </w:r>
            <w:r w:rsidRPr="00955003">
              <w:t xml:space="preserve">Climate Impact Pledge, </w:t>
            </w:r>
            <w:r>
              <w:t xml:space="preserve">LGIM </w:t>
            </w:r>
            <w:r w:rsidRPr="00955003">
              <w:t xml:space="preserve">publish </w:t>
            </w:r>
            <w:r>
              <w:t xml:space="preserve">their </w:t>
            </w:r>
            <w:r w:rsidRPr="00955003">
              <w:t xml:space="preserve">minimum expectations for companies in 20 climate-critical sectors. </w:t>
            </w:r>
            <w:r>
              <w:t xml:space="preserve">LGIM </w:t>
            </w:r>
            <w:r w:rsidRPr="00955003">
              <w:t xml:space="preserve">select roughly 100 companies for 'in-depth' engagement - these companies are influential in their sectors, but in </w:t>
            </w:r>
            <w:r>
              <w:t xml:space="preserve">their </w:t>
            </w:r>
            <w:r w:rsidRPr="00955003">
              <w:t xml:space="preserve">view are not yet leaders on sustainability; by virtue of their influence, their improvements would be likely to have a knock-on effect on other companies within </w:t>
            </w:r>
            <w:r w:rsidRPr="00955003">
              <w:lastRenderedPageBreak/>
              <w:t xml:space="preserve">the sector, and in supply chains. </w:t>
            </w:r>
            <w:r>
              <w:t xml:space="preserve">Their </w:t>
            </w:r>
            <w:r w:rsidRPr="00955003">
              <w:t xml:space="preserve">in-depth engagement is focused on helping companies meet these minimum expectations, and understanding the hurdles they must overcome. For in-depth engagement companies, those which continue to lag </w:t>
            </w:r>
            <w:r>
              <w:t xml:space="preserve">their </w:t>
            </w:r>
            <w:r w:rsidRPr="00955003">
              <w:t>minimum expectations may be subject to voting sanctions and/ or divestment (from LGIM funds which apply the Climate Impact Pledge exclusions).</w:t>
            </w:r>
          </w:p>
          <w:p w14:paraId="3E21570D" w14:textId="77777777" w:rsidR="00B952FF" w:rsidRPr="00955003" w:rsidRDefault="00B952FF" w:rsidP="00B952FF">
            <w:pPr>
              <w:spacing w:after="0"/>
            </w:pPr>
            <w:r>
              <w:t xml:space="preserve">Their </w:t>
            </w:r>
            <w:r w:rsidRPr="00955003">
              <w:t>Climate Impact Pledge 'red lines' for the oil &amp; gas sector are:</w:t>
            </w:r>
          </w:p>
          <w:p w14:paraId="20155F79" w14:textId="77777777" w:rsidR="00B952FF" w:rsidRPr="00955003" w:rsidRDefault="00B952FF" w:rsidP="00B952FF">
            <w:pPr>
              <w:spacing w:after="0"/>
            </w:pPr>
            <w:r w:rsidRPr="00955003">
              <w:t>- Has the company committed to net-zero operational emissions?</w:t>
            </w:r>
          </w:p>
          <w:p w14:paraId="6EFC5EF3" w14:textId="77777777" w:rsidR="00B952FF" w:rsidRPr="00955003" w:rsidRDefault="00B952FF" w:rsidP="00B952FF">
            <w:pPr>
              <w:spacing w:after="0"/>
            </w:pPr>
            <w:r w:rsidRPr="00955003">
              <w:t>- Does the company have time-bound methane reduction/zero flaring targets?</w:t>
            </w:r>
          </w:p>
          <w:p w14:paraId="62D380BE" w14:textId="77777777" w:rsidR="00B952FF" w:rsidRPr="00955003" w:rsidRDefault="00B952FF" w:rsidP="00B952FF">
            <w:pPr>
              <w:spacing w:after="0"/>
            </w:pPr>
            <w:r w:rsidRPr="00955003">
              <w:t xml:space="preserve">- Does the company disclose its climate-related lobbying activities, including trade association </w:t>
            </w:r>
            <w:r w:rsidRPr="00955003">
              <w:lastRenderedPageBreak/>
              <w:t>memberships, and explain the action it will take if these are not aligned with a 1.5°C scenario?</w:t>
            </w:r>
          </w:p>
          <w:p w14:paraId="66FEEB96" w14:textId="77777777" w:rsidR="00B952FF" w:rsidRDefault="00B952FF" w:rsidP="00B952FF">
            <w:pPr>
              <w:spacing w:after="0"/>
            </w:pPr>
            <w:r w:rsidRPr="00955003">
              <w:t>UN SDG 13: Climate action"</w:t>
            </w:r>
            <w:r w:rsidRPr="00955003" w:rsidDel="00955003">
              <w:t xml:space="preserve"> </w:t>
            </w:r>
          </w:p>
        </w:tc>
      </w:tr>
      <w:tr w:rsidR="00B952FF" w14:paraId="1799E2CD" w14:textId="77777777" w:rsidTr="00276869">
        <w:tc>
          <w:tcPr>
            <w:tcW w:w="2314" w:type="dxa"/>
          </w:tcPr>
          <w:p w14:paraId="203CC551" w14:textId="77777777" w:rsidR="00B952FF" w:rsidRDefault="00B952FF" w:rsidP="00B952FF">
            <w:pPr>
              <w:spacing w:after="0"/>
            </w:pPr>
            <w:r>
              <w:lastRenderedPageBreak/>
              <w:t>What the investment manager has done</w:t>
            </w:r>
          </w:p>
        </w:tc>
        <w:tc>
          <w:tcPr>
            <w:tcW w:w="2319" w:type="dxa"/>
          </w:tcPr>
          <w:p w14:paraId="566A64D4" w14:textId="77777777" w:rsidR="00B952FF" w:rsidRPr="00955003" w:rsidRDefault="00B952FF" w:rsidP="00B952FF">
            <w:pPr>
              <w:spacing w:after="0"/>
              <w:rPr>
                <w:rFonts w:cstheme="minorHAnsi"/>
              </w:rPr>
            </w:pPr>
            <w:r>
              <w:rPr>
                <w:rFonts w:cstheme="minorHAnsi"/>
                <w:color w:val="000000"/>
              </w:rPr>
              <w:t>LGIM</w:t>
            </w:r>
            <w:r w:rsidRPr="00FE1A82">
              <w:rPr>
                <w:rFonts w:cstheme="minorHAnsi"/>
                <w:color w:val="000000"/>
              </w:rPr>
              <w:t xml:space="preserve"> w</w:t>
            </w:r>
            <w:r>
              <w:rPr>
                <w:rFonts w:cstheme="minorHAnsi"/>
                <w:color w:val="000000"/>
              </w:rPr>
              <w:t>as</w:t>
            </w:r>
            <w:r w:rsidRPr="00FE1A82">
              <w:rPr>
                <w:rFonts w:cstheme="minorHAnsi"/>
                <w:color w:val="000000"/>
              </w:rPr>
              <w:t xml:space="preserve"> in touch with Aegon's Investor Relations team in early September ahead of a planned meeting with the CEO and management team at a roadshow in the US. </w:t>
            </w:r>
            <w:r>
              <w:rPr>
                <w:rFonts w:cstheme="minorHAnsi"/>
                <w:color w:val="000000"/>
              </w:rPr>
              <w:t>LGIM</w:t>
            </w:r>
            <w:r w:rsidRPr="00FE1A82">
              <w:rPr>
                <w:rFonts w:cstheme="minorHAnsi"/>
                <w:color w:val="000000"/>
              </w:rPr>
              <w:t xml:space="preserve"> noted </w:t>
            </w:r>
            <w:r>
              <w:rPr>
                <w:rFonts w:cstheme="minorHAnsi"/>
                <w:color w:val="000000"/>
              </w:rPr>
              <w:t xml:space="preserve">their </w:t>
            </w:r>
            <w:r w:rsidRPr="00FE1A82">
              <w:rPr>
                <w:rFonts w:cstheme="minorHAnsi"/>
                <w:color w:val="000000"/>
              </w:rPr>
              <w:t xml:space="preserve">initial concerns with some of the proposed changes to the Company's Articles of Incorporation following the redomicile to a lower shareholder rights jurisdiction. This concern was also picked up by the main proxy advisory firms, ISS </w:t>
            </w:r>
            <w:r w:rsidRPr="00FE1A82">
              <w:rPr>
                <w:rFonts w:cstheme="minorHAnsi"/>
                <w:color w:val="000000"/>
              </w:rPr>
              <w:lastRenderedPageBreak/>
              <w:t>and Glass Lewis, who recommended negatively in respect of the proposed move. Following engagement on 14 September, Aegon announced amended proposals on 15 September, that now provided for enhanced shareholder rights to more closely align with provisions previously in place, especially around capital management authorities.</w:t>
            </w:r>
            <w:r w:rsidRPr="00FE1A82">
              <w:rPr>
                <w:rFonts w:cstheme="minorHAnsi"/>
                <w:color w:val="000000"/>
              </w:rPr>
              <w:br/>
            </w:r>
            <w:r>
              <w:rPr>
                <w:rFonts w:cstheme="minorHAnsi"/>
                <w:color w:val="000000"/>
              </w:rPr>
              <w:t>LGIM</w:t>
            </w:r>
            <w:r w:rsidRPr="00FE1A82">
              <w:rPr>
                <w:rFonts w:cstheme="minorHAnsi"/>
                <w:color w:val="000000"/>
              </w:rPr>
              <w:t xml:space="preserve"> also met with Aegon's CEO on 18 September. Given the importance of the vote on the Company's business performance, but potential negative effects on shareholder and creditor rights, the meeting was attended by the investment stewardship team as well as credit analysts both in London and the US. There was another follow-up meeting </w:t>
            </w:r>
            <w:r w:rsidRPr="00FE1A82">
              <w:rPr>
                <w:rFonts w:cstheme="minorHAnsi"/>
                <w:color w:val="000000"/>
              </w:rPr>
              <w:lastRenderedPageBreak/>
              <w:t>with the CEO only two days later, where changes to the proposals were discussed.</w:t>
            </w:r>
          </w:p>
        </w:tc>
        <w:tc>
          <w:tcPr>
            <w:tcW w:w="2358" w:type="dxa"/>
          </w:tcPr>
          <w:p w14:paraId="4AAAFFE4" w14:textId="77777777" w:rsidR="00B952FF" w:rsidRPr="00955003" w:rsidRDefault="00B952FF" w:rsidP="00B952FF">
            <w:pPr>
              <w:spacing w:after="0"/>
              <w:rPr>
                <w:rFonts w:cstheme="minorHAnsi"/>
              </w:rPr>
            </w:pPr>
            <w:r w:rsidRPr="00FE1A82">
              <w:rPr>
                <w:rFonts w:cstheme="minorHAnsi"/>
                <w:color w:val="000000"/>
              </w:rPr>
              <w:lastRenderedPageBreak/>
              <w:t>LGIM engaged initially with the company’s [then] CEO in 2016 about this issue and by 2021, Sainsbury’s was paying a real living wage to all employees, except those in outer London.</w:t>
            </w:r>
            <w:r w:rsidRPr="00FE1A82">
              <w:rPr>
                <w:rFonts w:cstheme="minorHAnsi"/>
                <w:color w:val="000000"/>
              </w:rPr>
              <w:br/>
            </w:r>
            <w:r>
              <w:rPr>
                <w:rFonts w:cstheme="minorHAnsi"/>
                <w:color w:val="000000"/>
              </w:rPr>
              <w:t xml:space="preserve">LGIM </w:t>
            </w:r>
            <w:r w:rsidRPr="00FE1A82">
              <w:rPr>
                <w:rFonts w:cstheme="minorHAnsi"/>
                <w:color w:val="000000"/>
              </w:rPr>
              <w:t xml:space="preserve">joined forces with </w:t>
            </w:r>
            <w:proofErr w:type="spellStart"/>
            <w:r w:rsidRPr="00FE1A82">
              <w:rPr>
                <w:rFonts w:cstheme="minorHAnsi"/>
                <w:color w:val="000000"/>
              </w:rPr>
              <w:t>ShareAction</w:t>
            </w:r>
            <w:proofErr w:type="spellEnd"/>
            <w:r w:rsidRPr="00FE1A82">
              <w:rPr>
                <w:rFonts w:cstheme="minorHAnsi"/>
                <w:color w:val="000000"/>
              </w:rPr>
              <w:t xml:space="preserve"> to try to encourage the company to change its policy for outer London workers. As these engagements failed to deliver change, </w:t>
            </w:r>
            <w:r>
              <w:rPr>
                <w:rFonts w:cstheme="minorHAnsi"/>
                <w:color w:val="000000"/>
              </w:rPr>
              <w:t xml:space="preserve">LGIM </w:t>
            </w:r>
            <w:r w:rsidRPr="00FE1A82">
              <w:rPr>
                <w:rFonts w:cstheme="minorHAnsi"/>
                <w:color w:val="000000"/>
              </w:rPr>
              <w:t xml:space="preserve">then joined </w:t>
            </w:r>
            <w:proofErr w:type="spellStart"/>
            <w:r w:rsidRPr="00FE1A82">
              <w:rPr>
                <w:rFonts w:cstheme="minorHAnsi"/>
                <w:color w:val="000000"/>
              </w:rPr>
              <w:t>ShareAction</w:t>
            </w:r>
            <w:proofErr w:type="spellEnd"/>
            <w:r w:rsidRPr="00FE1A82">
              <w:rPr>
                <w:rFonts w:cstheme="minorHAnsi"/>
                <w:color w:val="000000"/>
              </w:rPr>
              <w:t xml:space="preserve"> in co-filing a shareholder resolution in Q1 </w:t>
            </w:r>
            <w:r w:rsidRPr="00FE1A82">
              <w:rPr>
                <w:rFonts w:cstheme="minorHAnsi"/>
                <w:color w:val="000000"/>
              </w:rPr>
              <w:lastRenderedPageBreak/>
              <w:t xml:space="preserve">2022, asking the company to becoming a living wage accredited employer. This escalation succeeded insofar as, in April 2022, Sainsbury’s moved all its London-based employees to the real living wage. </w:t>
            </w:r>
            <w:r>
              <w:rPr>
                <w:rFonts w:cstheme="minorHAnsi"/>
                <w:color w:val="000000"/>
              </w:rPr>
              <w:t xml:space="preserve">LGIM </w:t>
            </w:r>
            <w:r w:rsidRPr="00FE1A82">
              <w:rPr>
                <w:rFonts w:cstheme="minorHAnsi"/>
                <w:color w:val="000000"/>
              </w:rPr>
              <w:t xml:space="preserve">welcomed this development as it demonstrates Sainsbury’s values as a responsible employer. However, the shareholder resolution was not withdrawn and remained on the 2022 AGM agenda because, despite this expansion of the real living wage to more employees, contractors, i.e. cleaners and security guards, operating within Sainsbury's operations were excluded from the uplift. </w:t>
            </w:r>
            <w:r w:rsidRPr="00FE1A82">
              <w:rPr>
                <w:rFonts w:cstheme="minorHAnsi"/>
                <w:color w:val="000000"/>
              </w:rPr>
              <w:br/>
              <w:t xml:space="preserve">In the previous </w:t>
            </w:r>
            <w:r>
              <w:rPr>
                <w:rFonts w:cstheme="minorHAnsi"/>
                <w:color w:val="000000"/>
              </w:rPr>
              <w:t xml:space="preserve">four </w:t>
            </w:r>
            <w:r w:rsidRPr="00FE1A82">
              <w:rPr>
                <w:rFonts w:cstheme="minorHAnsi"/>
                <w:color w:val="000000"/>
              </w:rPr>
              <w:t xml:space="preserve">years </w:t>
            </w:r>
            <w:r>
              <w:rPr>
                <w:rFonts w:cstheme="minorHAnsi"/>
                <w:color w:val="000000"/>
              </w:rPr>
              <w:t xml:space="preserve">LGIM </w:t>
            </w:r>
            <w:r w:rsidRPr="00FE1A82">
              <w:rPr>
                <w:rFonts w:cstheme="minorHAnsi"/>
                <w:color w:val="000000"/>
              </w:rPr>
              <w:t>ha</w:t>
            </w:r>
            <w:r>
              <w:rPr>
                <w:rFonts w:cstheme="minorHAnsi"/>
                <w:color w:val="000000"/>
              </w:rPr>
              <w:t>d</w:t>
            </w:r>
            <w:r w:rsidRPr="00FE1A82">
              <w:rPr>
                <w:rFonts w:cstheme="minorHAnsi"/>
                <w:color w:val="000000"/>
              </w:rPr>
              <w:t xml:space="preserve"> held eight company meetings with Sainsburys, with the continued main </w:t>
            </w:r>
            <w:r w:rsidRPr="00FE1A82">
              <w:rPr>
                <w:rFonts w:cstheme="minorHAnsi"/>
                <w:color w:val="000000"/>
              </w:rPr>
              <w:lastRenderedPageBreak/>
              <w:t xml:space="preserve">focus on social inequality, whilst also covering broader topics such as capital management and biodiversity. </w:t>
            </w:r>
            <w:r>
              <w:rPr>
                <w:rFonts w:cstheme="minorHAnsi"/>
                <w:color w:val="000000"/>
              </w:rPr>
              <w:t xml:space="preserve">LGIM </w:t>
            </w:r>
            <w:r w:rsidRPr="00FE1A82">
              <w:rPr>
                <w:rFonts w:cstheme="minorHAnsi"/>
                <w:color w:val="000000"/>
              </w:rPr>
              <w:t xml:space="preserve">met with the CEO as well as the Chairman. </w:t>
            </w:r>
            <w:r w:rsidRPr="00FE1A82">
              <w:rPr>
                <w:rFonts w:cstheme="minorHAnsi"/>
                <w:color w:val="000000"/>
              </w:rPr>
              <w:br/>
              <w:t xml:space="preserve">In 2023, LGIM led its own campaign on income inequality where </w:t>
            </w:r>
            <w:r>
              <w:rPr>
                <w:rFonts w:cstheme="minorHAnsi"/>
                <w:color w:val="000000"/>
              </w:rPr>
              <w:t xml:space="preserve">LGIM </w:t>
            </w:r>
            <w:r w:rsidRPr="00FE1A82">
              <w:rPr>
                <w:rFonts w:cstheme="minorHAnsi"/>
                <w:color w:val="000000"/>
              </w:rPr>
              <w:t xml:space="preserve">targeted the largest global food retailers. Sainsbury's is one of the 15 companies </w:t>
            </w:r>
            <w:r>
              <w:rPr>
                <w:rFonts w:cstheme="minorHAnsi"/>
                <w:color w:val="000000"/>
              </w:rPr>
              <w:t>LGIM is</w:t>
            </w:r>
            <w:r w:rsidRPr="00FE1A82">
              <w:rPr>
                <w:rFonts w:cstheme="minorHAnsi"/>
                <w:color w:val="000000"/>
              </w:rPr>
              <w:t xml:space="preserve"> targeting. The campaign has as a consequence, a vote against the Chairman if </w:t>
            </w:r>
            <w:r>
              <w:rPr>
                <w:rFonts w:cstheme="minorHAnsi"/>
                <w:color w:val="000000"/>
              </w:rPr>
              <w:t xml:space="preserve">their </w:t>
            </w:r>
            <w:r w:rsidRPr="00FE1A82">
              <w:rPr>
                <w:rFonts w:cstheme="minorHAnsi"/>
                <w:color w:val="000000"/>
              </w:rPr>
              <w:t>minimum requirements are not met by the time of their AGM in 2025.</w:t>
            </w:r>
          </w:p>
        </w:tc>
        <w:tc>
          <w:tcPr>
            <w:tcW w:w="2320" w:type="dxa"/>
          </w:tcPr>
          <w:p w14:paraId="1D27B6BB" w14:textId="77777777" w:rsidR="00B952FF" w:rsidRPr="00955003" w:rsidRDefault="00B952FF" w:rsidP="00B952FF">
            <w:pPr>
              <w:spacing w:after="0"/>
              <w:rPr>
                <w:rFonts w:cstheme="minorHAnsi"/>
              </w:rPr>
            </w:pPr>
            <w:r>
              <w:rPr>
                <w:rFonts w:cstheme="minorHAnsi"/>
                <w:color w:val="000000"/>
              </w:rPr>
              <w:lastRenderedPageBreak/>
              <w:t xml:space="preserve">LGIM </w:t>
            </w:r>
            <w:r w:rsidRPr="00FE1A82">
              <w:rPr>
                <w:rFonts w:cstheme="minorHAnsi"/>
                <w:color w:val="000000"/>
              </w:rPr>
              <w:t>ha</w:t>
            </w:r>
            <w:r>
              <w:rPr>
                <w:rFonts w:cstheme="minorHAnsi"/>
                <w:color w:val="000000"/>
              </w:rPr>
              <w:t>s</w:t>
            </w:r>
            <w:r w:rsidRPr="00FE1A82">
              <w:rPr>
                <w:rFonts w:cstheme="minorHAnsi"/>
                <w:color w:val="000000"/>
              </w:rPr>
              <w:t xml:space="preserve"> been engaging with Exxon Mobil since 2016 and they have, over time, participated willingly in </w:t>
            </w:r>
            <w:r>
              <w:rPr>
                <w:rFonts w:cstheme="minorHAnsi"/>
                <w:color w:val="000000"/>
              </w:rPr>
              <w:t xml:space="preserve">their </w:t>
            </w:r>
            <w:r w:rsidRPr="00FE1A82">
              <w:rPr>
                <w:rFonts w:cstheme="minorHAnsi"/>
                <w:color w:val="000000"/>
              </w:rPr>
              <w:t xml:space="preserve">discussions and meetings. Under </w:t>
            </w:r>
            <w:r>
              <w:rPr>
                <w:rFonts w:cstheme="minorHAnsi"/>
                <w:color w:val="000000"/>
              </w:rPr>
              <w:t xml:space="preserve">their </w:t>
            </w:r>
            <w:r w:rsidRPr="00FE1A82">
              <w:rPr>
                <w:rFonts w:cstheme="minorHAnsi"/>
                <w:color w:val="000000"/>
              </w:rPr>
              <w:t xml:space="preserve">Climate Impact Pledge, </w:t>
            </w:r>
            <w:r>
              <w:rPr>
                <w:rFonts w:cstheme="minorHAnsi"/>
                <w:color w:val="000000"/>
              </w:rPr>
              <w:t xml:space="preserve">LGIM </w:t>
            </w:r>
            <w:r w:rsidRPr="00FE1A82">
              <w:rPr>
                <w:rFonts w:cstheme="minorHAnsi"/>
                <w:color w:val="000000"/>
              </w:rPr>
              <w:t xml:space="preserve">identified a number of initial areas for concern, namely: lack of Scope 3 emissions disclosures (embedded in sold products); lack if integration or a comprehensive net zero commitment; lack of ambition in operational reductions targets </w:t>
            </w:r>
            <w:proofErr w:type="gramStart"/>
            <w:r w:rsidRPr="00FE1A82">
              <w:rPr>
                <w:rFonts w:cstheme="minorHAnsi"/>
                <w:color w:val="000000"/>
              </w:rPr>
              <w:lastRenderedPageBreak/>
              <w:t>and;</w:t>
            </w:r>
            <w:proofErr w:type="gramEnd"/>
            <w:r w:rsidRPr="00FE1A82">
              <w:rPr>
                <w:rFonts w:cstheme="minorHAnsi"/>
                <w:color w:val="000000"/>
              </w:rPr>
              <w:t xml:space="preserve"> lack of disclosure of climate lobbying activities. Levels of individual typically engaged with include the Head of Sustainability, Lead Independent Director, the Company Secretary and Investors Relations.</w:t>
            </w:r>
            <w:r w:rsidRPr="00FE1A82">
              <w:rPr>
                <w:rFonts w:cstheme="minorHAnsi"/>
                <w:color w:val="000000"/>
              </w:rPr>
              <w:br/>
            </w:r>
            <w:r>
              <w:rPr>
                <w:rFonts w:cstheme="minorHAnsi"/>
                <w:color w:val="000000"/>
              </w:rPr>
              <w:t xml:space="preserve">Their </w:t>
            </w:r>
            <w:r w:rsidRPr="00FE1A82">
              <w:rPr>
                <w:rFonts w:cstheme="minorHAnsi"/>
                <w:color w:val="000000"/>
              </w:rPr>
              <w:t xml:space="preserve">regular engagements with Exxon Mobil have focused on </w:t>
            </w:r>
            <w:r>
              <w:rPr>
                <w:rFonts w:cstheme="minorHAnsi"/>
                <w:color w:val="000000"/>
              </w:rPr>
              <w:t xml:space="preserve">their </w:t>
            </w:r>
            <w:r w:rsidRPr="00FE1A82">
              <w:rPr>
                <w:rFonts w:cstheme="minorHAnsi"/>
                <w:color w:val="000000"/>
              </w:rPr>
              <w:t xml:space="preserve">expectations under the Climate Impact Pledge, as well as several other material issues for the company, including capital allocation and business resiliency. The improvements made have not so far been sufficient in </w:t>
            </w:r>
            <w:r>
              <w:rPr>
                <w:rFonts w:cstheme="minorHAnsi"/>
                <w:color w:val="000000"/>
              </w:rPr>
              <w:t xml:space="preserve">their </w:t>
            </w:r>
            <w:r w:rsidRPr="00FE1A82">
              <w:rPr>
                <w:rFonts w:cstheme="minorHAnsi"/>
                <w:color w:val="000000"/>
              </w:rPr>
              <w:t xml:space="preserve">opinion, which has resulted in escalations. The first escalation was to vote against the re-election of the Chair, from 2019, in line with </w:t>
            </w:r>
            <w:r>
              <w:rPr>
                <w:rFonts w:cstheme="minorHAnsi"/>
                <w:color w:val="000000"/>
              </w:rPr>
              <w:t xml:space="preserve">their </w:t>
            </w:r>
            <w:r w:rsidRPr="00FE1A82">
              <w:rPr>
                <w:rFonts w:cstheme="minorHAnsi"/>
                <w:color w:val="000000"/>
              </w:rPr>
              <w:t xml:space="preserve">Climate Impact Pledge sanctions. Subsequently, in the absence of further </w:t>
            </w:r>
            <w:r w:rsidRPr="00FE1A82">
              <w:rPr>
                <w:rFonts w:cstheme="minorHAnsi"/>
                <w:color w:val="000000"/>
              </w:rPr>
              <w:lastRenderedPageBreak/>
              <w:t xml:space="preserve">improvements, </w:t>
            </w:r>
            <w:r>
              <w:rPr>
                <w:rFonts w:cstheme="minorHAnsi"/>
                <w:color w:val="000000"/>
              </w:rPr>
              <w:t xml:space="preserve">LGIM </w:t>
            </w:r>
            <w:r w:rsidRPr="00FE1A82">
              <w:rPr>
                <w:rFonts w:cstheme="minorHAnsi"/>
                <w:color w:val="000000"/>
              </w:rPr>
              <w:t xml:space="preserve">placed Exxon Mobil on </w:t>
            </w:r>
            <w:r>
              <w:rPr>
                <w:rFonts w:cstheme="minorHAnsi"/>
                <w:color w:val="000000"/>
              </w:rPr>
              <w:t xml:space="preserve">their </w:t>
            </w:r>
            <w:r w:rsidRPr="00FE1A82">
              <w:rPr>
                <w:rFonts w:cstheme="minorHAnsi"/>
                <w:color w:val="000000"/>
              </w:rPr>
              <w:t xml:space="preserve">Climate Impact Pledge divestment list (for applicable LGIM funds) in 2021, as </w:t>
            </w:r>
            <w:r>
              <w:rPr>
                <w:rFonts w:cstheme="minorHAnsi"/>
                <w:color w:val="000000"/>
              </w:rPr>
              <w:t xml:space="preserve">LGIM </w:t>
            </w:r>
            <w:r w:rsidRPr="00FE1A82">
              <w:rPr>
                <w:rFonts w:cstheme="minorHAnsi"/>
                <w:color w:val="000000"/>
              </w:rPr>
              <w:t xml:space="preserve">considered the steps taken by the company so far to be insufficient for a firm of its scale and stature. Nevertheless, </w:t>
            </w:r>
            <w:r>
              <w:rPr>
                <w:rFonts w:cstheme="minorHAnsi"/>
                <w:color w:val="000000"/>
              </w:rPr>
              <w:t xml:space="preserve">their </w:t>
            </w:r>
            <w:r w:rsidRPr="00FE1A82">
              <w:rPr>
                <w:rFonts w:cstheme="minorHAnsi"/>
                <w:color w:val="000000"/>
              </w:rPr>
              <w:t xml:space="preserve">engagement with the company continues. In terms of further voting activity, in 2022 </w:t>
            </w:r>
            <w:r>
              <w:rPr>
                <w:rFonts w:cstheme="minorHAnsi"/>
                <w:color w:val="000000"/>
              </w:rPr>
              <w:t xml:space="preserve">LGIM </w:t>
            </w:r>
            <w:r w:rsidRPr="00FE1A82">
              <w:rPr>
                <w:rFonts w:cstheme="minorHAnsi"/>
                <w:color w:val="000000"/>
              </w:rPr>
              <w:t xml:space="preserve">supported two climate-related shareholder resolutions (i.e. voted against management recommendation) at Exxon's AGM, reflecting </w:t>
            </w:r>
            <w:r>
              <w:rPr>
                <w:rFonts w:cstheme="minorHAnsi"/>
                <w:color w:val="000000"/>
              </w:rPr>
              <w:t xml:space="preserve">their </w:t>
            </w:r>
            <w:r w:rsidRPr="00FE1A82">
              <w:rPr>
                <w:rFonts w:cstheme="minorHAnsi"/>
                <w:color w:val="000000"/>
              </w:rPr>
              <w:t xml:space="preserve">continued wish for the company to take sufficient action on climate change in line with </w:t>
            </w:r>
            <w:r>
              <w:rPr>
                <w:rFonts w:cstheme="minorHAnsi"/>
                <w:color w:val="000000"/>
              </w:rPr>
              <w:t xml:space="preserve">their </w:t>
            </w:r>
            <w:r w:rsidRPr="00FE1A82">
              <w:rPr>
                <w:rFonts w:cstheme="minorHAnsi"/>
                <w:color w:val="000000"/>
              </w:rPr>
              <w:t>minimum expectations.</w:t>
            </w:r>
            <w:r w:rsidRPr="00FE1A82">
              <w:rPr>
                <w:rFonts w:cstheme="minorHAnsi"/>
                <w:color w:val="000000"/>
              </w:rPr>
              <w:br/>
              <w:t xml:space="preserve">Further escalating </w:t>
            </w:r>
            <w:r>
              <w:rPr>
                <w:rFonts w:cstheme="minorHAnsi"/>
                <w:color w:val="000000"/>
              </w:rPr>
              <w:t xml:space="preserve">their </w:t>
            </w:r>
            <w:r w:rsidRPr="00FE1A82">
              <w:rPr>
                <w:rFonts w:cstheme="minorHAnsi"/>
                <w:color w:val="000000"/>
              </w:rPr>
              <w:t xml:space="preserve">engagement, LGIMA and CBIS co-filed a shareholder </w:t>
            </w:r>
            <w:r w:rsidRPr="00FE1A82">
              <w:rPr>
                <w:rFonts w:cstheme="minorHAnsi"/>
                <w:color w:val="000000"/>
              </w:rPr>
              <w:lastRenderedPageBreak/>
              <w:t xml:space="preserve">resolution at Exxon’s 2023 AGM, requesting the company to disclose the quantitative impact of the IEA NZ scenario on all asset retirement obligations (AROs). The proposal was </w:t>
            </w:r>
            <w:r w:rsidRPr="00FD0783">
              <w:rPr>
                <w:rFonts w:cstheme="minorHAnsi"/>
                <w:color w:val="000000"/>
              </w:rPr>
              <w:t>centered</w:t>
            </w:r>
            <w:r w:rsidRPr="00FE1A82">
              <w:rPr>
                <w:rFonts w:cstheme="minorHAnsi"/>
                <w:color w:val="000000"/>
              </w:rPr>
              <w:t xml:space="preserve"> around disclosure and seeking greater insight into the potential costs associated with the decommissioning of Exxon’s assets in the event of an accelerated energy transition. </w:t>
            </w:r>
            <w:r>
              <w:rPr>
                <w:rFonts w:cstheme="minorHAnsi"/>
                <w:color w:val="000000"/>
              </w:rPr>
              <w:t xml:space="preserve">LGIM </w:t>
            </w:r>
            <w:r w:rsidRPr="00FE1A82">
              <w:rPr>
                <w:rFonts w:cstheme="minorHAnsi"/>
                <w:color w:val="000000"/>
              </w:rPr>
              <w:t xml:space="preserve">believe this is a fundamental level of information for the company’s shareholders, in light of growing investor concerns about asset retirement obligations (AROs) in a carbon constrained future, and that it is financially material information. The proposal received over 16% support from shareholders which, although lower than </w:t>
            </w:r>
            <w:r>
              <w:rPr>
                <w:rFonts w:cstheme="minorHAnsi"/>
                <w:color w:val="000000"/>
              </w:rPr>
              <w:t xml:space="preserve">LGIM </w:t>
            </w:r>
            <w:r w:rsidRPr="00FE1A82">
              <w:rPr>
                <w:rFonts w:cstheme="minorHAnsi"/>
                <w:color w:val="000000"/>
              </w:rPr>
              <w:lastRenderedPageBreak/>
              <w:t>would have liked, demonstrates an increasing recognition of the importance of this issue for investors.</w:t>
            </w:r>
          </w:p>
        </w:tc>
      </w:tr>
      <w:tr w:rsidR="00B952FF" w14:paraId="400F36FE" w14:textId="77777777" w:rsidTr="00276869">
        <w:tc>
          <w:tcPr>
            <w:tcW w:w="2314" w:type="dxa"/>
          </w:tcPr>
          <w:p w14:paraId="059E952A" w14:textId="77777777" w:rsidR="00B952FF" w:rsidRDefault="00B952FF" w:rsidP="00B952FF">
            <w:pPr>
              <w:spacing w:after="0"/>
            </w:pPr>
            <w:r>
              <w:lastRenderedPageBreak/>
              <w:t>Outcomes and next steps</w:t>
            </w:r>
          </w:p>
        </w:tc>
        <w:tc>
          <w:tcPr>
            <w:tcW w:w="2319" w:type="dxa"/>
          </w:tcPr>
          <w:p w14:paraId="2FCD12B3" w14:textId="77777777" w:rsidR="00B952FF" w:rsidRPr="00955003" w:rsidRDefault="00B952FF" w:rsidP="00B952FF">
            <w:pPr>
              <w:spacing w:after="0"/>
              <w:rPr>
                <w:rFonts w:cstheme="minorHAnsi"/>
              </w:rPr>
            </w:pPr>
            <w:r w:rsidRPr="00FE1A82">
              <w:rPr>
                <w:rFonts w:cstheme="minorHAnsi"/>
                <w:color w:val="000000"/>
              </w:rPr>
              <w:t xml:space="preserve">With pressure applied on the Company by both investors and proxy advisers, </w:t>
            </w:r>
            <w:r>
              <w:rPr>
                <w:rFonts w:cstheme="minorHAnsi"/>
                <w:color w:val="000000"/>
              </w:rPr>
              <w:t>LGIM was</w:t>
            </w:r>
            <w:r w:rsidRPr="00FE1A82">
              <w:rPr>
                <w:rFonts w:cstheme="minorHAnsi"/>
                <w:color w:val="000000"/>
              </w:rPr>
              <w:t xml:space="preserve"> able to push for improved shareholder rights and amended terms ahead of the vote taking place at the EGM.</w:t>
            </w:r>
            <w:r w:rsidRPr="00FE1A82">
              <w:rPr>
                <w:rFonts w:cstheme="minorHAnsi"/>
                <w:color w:val="000000"/>
              </w:rPr>
              <w:br/>
              <w:t>Both ISS and Glass Lewis changed their vote recommendations on the proposal upon the announcement on 15 September by the Company of changed terms and commitments, and LGIM felt comfortable to support all resolutions at the EGM. The redomicile of Aegon was overwhelmingly approved by shareholders with 98.7% of shares voted in favour.</w:t>
            </w:r>
          </w:p>
        </w:tc>
        <w:tc>
          <w:tcPr>
            <w:tcW w:w="2358" w:type="dxa"/>
          </w:tcPr>
          <w:p w14:paraId="69531778" w14:textId="77777777" w:rsidR="00B952FF" w:rsidRPr="00955003" w:rsidRDefault="00B952FF" w:rsidP="00B952FF">
            <w:pPr>
              <w:spacing w:after="0"/>
              <w:rPr>
                <w:rFonts w:cstheme="minorHAnsi"/>
              </w:rPr>
            </w:pPr>
            <w:r w:rsidRPr="00FE1A82">
              <w:rPr>
                <w:rFonts w:cstheme="minorHAnsi"/>
                <w:color w:val="000000"/>
              </w:rPr>
              <w:t xml:space="preserve">Since </w:t>
            </w:r>
            <w:r>
              <w:rPr>
                <w:rFonts w:cstheme="minorHAnsi"/>
                <w:color w:val="000000"/>
              </w:rPr>
              <w:t xml:space="preserve">LGIM </w:t>
            </w:r>
            <w:r w:rsidRPr="00FE1A82">
              <w:rPr>
                <w:rFonts w:cstheme="minorHAnsi"/>
                <w:color w:val="000000"/>
              </w:rPr>
              <w:t xml:space="preserve">co-filed the shareholder resolution in 2022, Sainsbury’s has made three further pay increases to its directly employed workers, harmonising inner and outer London pay and is now paying the real living wage to its employees, as well as extending free food to workers well into 2023. </w:t>
            </w:r>
            <w:r>
              <w:rPr>
                <w:rFonts w:cstheme="minorHAnsi"/>
                <w:color w:val="000000"/>
              </w:rPr>
              <w:t xml:space="preserve">LGIM </w:t>
            </w:r>
            <w:r w:rsidRPr="00FE1A82">
              <w:rPr>
                <w:rFonts w:cstheme="minorHAnsi"/>
                <w:color w:val="000000"/>
              </w:rPr>
              <w:t>welcome</w:t>
            </w:r>
            <w:r>
              <w:rPr>
                <w:rFonts w:cstheme="minorHAnsi"/>
                <w:color w:val="000000"/>
              </w:rPr>
              <w:t>s</w:t>
            </w:r>
            <w:r w:rsidRPr="00FE1A82">
              <w:rPr>
                <w:rFonts w:cstheme="minorHAnsi"/>
                <w:color w:val="000000"/>
              </w:rPr>
              <w:t xml:space="preserve"> these actions which demonstrate the value the board places on its workforce. </w:t>
            </w:r>
            <w:r>
              <w:rPr>
                <w:rFonts w:cstheme="minorHAnsi"/>
                <w:color w:val="000000"/>
              </w:rPr>
              <w:t xml:space="preserve">LGIM </w:t>
            </w:r>
            <w:r w:rsidRPr="00FE1A82">
              <w:rPr>
                <w:rFonts w:cstheme="minorHAnsi"/>
                <w:color w:val="000000"/>
              </w:rPr>
              <w:t>continue</w:t>
            </w:r>
            <w:r>
              <w:rPr>
                <w:rFonts w:cstheme="minorHAnsi"/>
                <w:color w:val="000000"/>
              </w:rPr>
              <w:t>s</w:t>
            </w:r>
            <w:r w:rsidRPr="00FE1A82">
              <w:rPr>
                <w:rFonts w:cstheme="minorHAnsi"/>
                <w:color w:val="000000"/>
              </w:rPr>
              <w:t xml:space="preserve"> to engage with Sainsburys and have asked the board to collaborate with other key industry stakeholders to bring about a living wage for contracted staff.</w:t>
            </w:r>
            <w:r w:rsidRPr="00FE1A82">
              <w:rPr>
                <w:rFonts w:cstheme="minorHAnsi"/>
                <w:color w:val="000000"/>
              </w:rPr>
              <w:br/>
              <w:t xml:space="preserve">While the company may have been in </w:t>
            </w:r>
            <w:r w:rsidRPr="00FE1A82">
              <w:rPr>
                <w:rFonts w:cstheme="minorHAnsi"/>
                <w:color w:val="000000"/>
              </w:rPr>
              <w:lastRenderedPageBreak/>
              <w:t xml:space="preserve">the process of raising salaries, </w:t>
            </w:r>
            <w:r>
              <w:rPr>
                <w:rFonts w:cstheme="minorHAnsi"/>
                <w:color w:val="000000"/>
              </w:rPr>
              <w:t xml:space="preserve">their </w:t>
            </w:r>
            <w:r w:rsidRPr="00FE1A82">
              <w:rPr>
                <w:rFonts w:cstheme="minorHAnsi"/>
                <w:color w:val="000000"/>
              </w:rPr>
              <w:t xml:space="preserve">campaigned engagement and shareholder resolution would have fast tracked the end result. It has also made the company aware of how important this topic is to their investors. </w:t>
            </w:r>
            <w:r w:rsidRPr="00FE1A82">
              <w:rPr>
                <w:rFonts w:cstheme="minorHAnsi"/>
                <w:color w:val="000000"/>
              </w:rPr>
              <w:br/>
            </w:r>
            <w:r>
              <w:rPr>
                <w:rFonts w:cstheme="minorHAnsi"/>
                <w:color w:val="000000"/>
              </w:rPr>
              <w:t>LGIM is</w:t>
            </w:r>
            <w:r w:rsidRPr="00FE1A82">
              <w:rPr>
                <w:rFonts w:cstheme="minorHAnsi"/>
                <w:color w:val="000000"/>
              </w:rPr>
              <w:t xml:space="preserve"> continuing to engage with Sainsbury's, both individually and collaboratively with the </w:t>
            </w:r>
            <w:proofErr w:type="spellStart"/>
            <w:r w:rsidRPr="00FE1A82">
              <w:rPr>
                <w:rFonts w:cstheme="minorHAnsi"/>
                <w:color w:val="000000"/>
              </w:rPr>
              <w:t>ShareAction</w:t>
            </w:r>
            <w:proofErr w:type="spellEnd"/>
            <w:r w:rsidRPr="00FE1A82">
              <w:rPr>
                <w:rFonts w:cstheme="minorHAnsi"/>
                <w:color w:val="000000"/>
              </w:rPr>
              <w:t xml:space="preserve"> Good Work Coalition, and have met with them a number of times during 2023 as part of </w:t>
            </w:r>
            <w:r>
              <w:rPr>
                <w:rFonts w:cstheme="minorHAnsi"/>
                <w:color w:val="000000"/>
              </w:rPr>
              <w:t xml:space="preserve">their </w:t>
            </w:r>
            <w:r w:rsidRPr="00FE1A82">
              <w:rPr>
                <w:rFonts w:cstheme="minorHAnsi"/>
                <w:color w:val="000000"/>
              </w:rPr>
              <w:t xml:space="preserve">living wage campaign, directed at 15 large global supermarkets. In addition to setting objectives regarding the living wage for these companies' own operations, </w:t>
            </w:r>
            <w:r>
              <w:rPr>
                <w:rFonts w:cstheme="minorHAnsi"/>
                <w:color w:val="000000"/>
              </w:rPr>
              <w:t xml:space="preserve">LGIM </w:t>
            </w:r>
            <w:r w:rsidRPr="00FE1A82">
              <w:rPr>
                <w:rFonts w:cstheme="minorHAnsi"/>
                <w:color w:val="000000"/>
              </w:rPr>
              <w:t>also expect</w:t>
            </w:r>
            <w:r>
              <w:rPr>
                <w:rFonts w:cstheme="minorHAnsi"/>
                <w:color w:val="000000"/>
              </w:rPr>
              <w:t>s</w:t>
            </w:r>
            <w:r w:rsidRPr="00FE1A82">
              <w:rPr>
                <w:rFonts w:cstheme="minorHAnsi"/>
                <w:color w:val="000000"/>
              </w:rPr>
              <w:t xml:space="preserve"> them to take certain actions regarding their Tier 1 and ideally Tier 2 supply chains.</w:t>
            </w:r>
            <w:r w:rsidRPr="00FE1A82">
              <w:rPr>
                <w:rFonts w:cstheme="minorHAnsi"/>
                <w:color w:val="000000"/>
              </w:rPr>
              <w:br/>
            </w:r>
            <w:r>
              <w:rPr>
                <w:rFonts w:cstheme="minorHAnsi"/>
                <w:color w:val="000000"/>
              </w:rPr>
              <w:t xml:space="preserve">LGIM </w:t>
            </w:r>
            <w:r w:rsidRPr="00FE1A82">
              <w:rPr>
                <w:rFonts w:cstheme="minorHAnsi"/>
                <w:color w:val="000000"/>
              </w:rPr>
              <w:t>ha</w:t>
            </w:r>
            <w:r>
              <w:rPr>
                <w:rFonts w:cstheme="minorHAnsi"/>
                <w:color w:val="000000"/>
              </w:rPr>
              <w:t>s</w:t>
            </w:r>
            <w:r w:rsidRPr="00FE1A82">
              <w:rPr>
                <w:rFonts w:cstheme="minorHAnsi"/>
                <w:color w:val="000000"/>
              </w:rPr>
              <w:t xml:space="preserve"> been engaging with the </w:t>
            </w:r>
            <w:r w:rsidRPr="00FE1A82">
              <w:rPr>
                <w:rFonts w:cstheme="minorHAnsi"/>
                <w:color w:val="000000"/>
              </w:rPr>
              <w:lastRenderedPageBreak/>
              <w:t xml:space="preserve">Chairman, the Chief Executive and investor relations in relation to </w:t>
            </w:r>
            <w:r>
              <w:rPr>
                <w:rFonts w:cstheme="minorHAnsi"/>
                <w:color w:val="000000"/>
              </w:rPr>
              <w:t xml:space="preserve">their </w:t>
            </w:r>
            <w:r w:rsidRPr="00FE1A82">
              <w:rPr>
                <w:rFonts w:cstheme="minorHAnsi"/>
                <w:color w:val="000000"/>
              </w:rPr>
              <w:t xml:space="preserve">expectations. </w:t>
            </w:r>
            <w:r w:rsidRPr="00FE1A82">
              <w:rPr>
                <w:rFonts w:cstheme="minorHAnsi"/>
                <w:color w:val="000000"/>
              </w:rPr>
              <w:br/>
              <w:t xml:space="preserve">The milestones set under this campaign relate to expectations that, should they be achieved, they would not only improve wages for significant numbers of low-paid workers around the world but also, given these companies' influence in their respective countries and supply chains, </w:t>
            </w:r>
            <w:r>
              <w:rPr>
                <w:rFonts w:cstheme="minorHAnsi"/>
                <w:color w:val="000000"/>
              </w:rPr>
              <w:t xml:space="preserve">LGIM </w:t>
            </w:r>
            <w:r w:rsidRPr="00FE1A82">
              <w:rPr>
                <w:rFonts w:cstheme="minorHAnsi"/>
                <w:color w:val="000000"/>
              </w:rPr>
              <w:t xml:space="preserve">would expect there to be a knock-on impact as competitors and smaller peers would then be compelled to follow suit. </w:t>
            </w:r>
            <w:r>
              <w:rPr>
                <w:rFonts w:cstheme="minorHAnsi"/>
                <w:color w:val="000000"/>
              </w:rPr>
              <w:t xml:space="preserve">LGIM </w:t>
            </w:r>
            <w:r w:rsidRPr="00FE1A82">
              <w:rPr>
                <w:rFonts w:cstheme="minorHAnsi"/>
                <w:color w:val="000000"/>
              </w:rPr>
              <w:t xml:space="preserve">would hope that this would improve the livelihood of thousands of workers and their families and also boost GDP. </w:t>
            </w:r>
            <w:r w:rsidRPr="00FE1A82">
              <w:rPr>
                <w:rFonts w:cstheme="minorHAnsi"/>
                <w:color w:val="000000"/>
              </w:rPr>
              <w:br/>
            </w:r>
            <w:r>
              <w:rPr>
                <w:rFonts w:cstheme="minorHAnsi"/>
                <w:color w:val="000000"/>
              </w:rPr>
              <w:t xml:space="preserve">LGIM </w:t>
            </w:r>
            <w:r w:rsidRPr="00FE1A82">
              <w:rPr>
                <w:rFonts w:cstheme="minorHAnsi"/>
                <w:color w:val="000000"/>
              </w:rPr>
              <w:t xml:space="preserve">may consider co-filing some shareholder resolutions in 2024 at some of the companies targeted </w:t>
            </w:r>
            <w:r w:rsidRPr="00FE1A82">
              <w:rPr>
                <w:rFonts w:cstheme="minorHAnsi"/>
                <w:color w:val="000000"/>
              </w:rPr>
              <w:lastRenderedPageBreak/>
              <w:t xml:space="preserve">under this campaign. </w:t>
            </w:r>
          </w:p>
        </w:tc>
        <w:tc>
          <w:tcPr>
            <w:tcW w:w="2320" w:type="dxa"/>
          </w:tcPr>
          <w:p w14:paraId="33B84A82" w14:textId="77777777" w:rsidR="00B952FF" w:rsidRPr="00955003" w:rsidRDefault="00B952FF" w:rsidP="00B952FF">
            <w:pPr>
              <w:spacing w:after="0"/>
              <w:rPr>
                <w:rFonts w:cstheme="minorHAnsi"/>
              </w:rPr>
            </w:pPr>
            <w:r w:rsidRPr="00FE1A82">
              <w:rPr>
                <w:rFonts w:cstheme="minorHAnsi"/>
                <w:color w:val="000000"/>
              </w:rPr>
              <w:lastRenderedPageBreak/>
              <w:t xml:space="preserve">Since 2021, </w:t>
            </w:r>
            <w:r>
              <w:rPr>
                <w:rFonts w:cstheme="minorHAnsi"/>
                <w:color w:val="000000"/>
              </w:rPr>
              <w:t xml:space="preserve">LGIM </w:t>
            </w:r>
            <w:r w:rsidRPr="00FE1A82">
              <w:rPr>
                <w:rFonts w:cstheme="minorHAnsi"/>
                <w:color w:val="000000"/>
              </w:rPr>
              <w:t>ha</w:t>
            </w:r>
            <w:r>
              <w:rPr>
                <w:rFonts w:cstheme="minorHAnsi"/>
                <w:color w:val="000000"/>
              </w:rPr>
              <w:t>s</w:t>
            </w:r>
            <w:r w:rsidRPr="00FE1A82">
              <w:rPr>
                <w:rFonts w:cstheme="minorHAnsi"/>
                <w:color w:val="000000"/>
              </w:rPr>
              <w:t xml:space="preserve"> seen notable improvements from Exxon Mobil regarding </w:t>
            </w:r>
            <w:r>
              <w:rPr>
                <w:rFonts w:cstheme="minorHAnsi"/>
                <w:color w:val="000000"/>
              </w:rPr>
              <w:t xml:space="preserve">their </w:t>
            </w:r>
            <w:r w:rsidRPr="00FE1A82">
              <w:rPr>
                <w:rFonts w:cstheme="minorHAnsi"/>
                <w:color w:val="000000"/>
              </w:rPr>
              <w:t xml:space="preserve">key engagement requests, including disclosure of Scope 3 emissions, a 'net zero by 2050' commitment (for Scopes 1 and 2 emissions), the setting of interim operational emissions reduction targets, improved disclosure of lobbying activities and more recently, the commitment made by the company to join the leading global partnership on methane, OGMP 2.0. However, there are still key areas where </w:t>
            </w:r>
            <w:r>
              <w:rPr>
                <w:rFonts w:cstheme="minorHAnsi"/>
                <w:color w:val="000000"/>
              </w:rPr>
              <w:t xml:space="preserve">LGIM </w:t>
            </w:r>
            <w:r w:rsidRPr="00FE1A82">
              <w:rPr>
                <w:rFonts w:cstheme="minorHAnsi"/>
                <w:color w:val="000000"/>
              </w:rPr>
              <w:t>require</w:t>
            </w:r>
            <w:r>
              <w:rPr>
                <w:rFonts w:cstheme="minorHAnsi"/>
                <w:color w:val="000000"/>
              </w:rPr>
              <w:t>s</w:t>
            </w:r>
            <w:r w:rsidRPr="00FE1A82">
              <w:rPr>
                <w:rFonts w:cstheme="minorHAnsi"/>
                <w:color w:val="000000"/>
              </w:rPr>
              <w:t xml:space="preserve"> further improvements, including inclusion of Scope 3 emissions targets, further quantifiable </w:t>
            </w:r>
            <w:r w:rsidRPr="00FE1A82">
              <w:rPr>
                <w:rFonts w:cstheme="minorHAnsi"/>
                <w:color w:val="000000"/>
              </w:rPr>
              <w:lastRenderedPageBreak/>
              <w:t xml:space="preserve">disclosure of business resiliency and asset retirement obligations across relevant scenarios, capital allocation , and improving the level of ambition regarding interim targets. </w:t>
            </w:r>
            <w:r>
              <w:rPr>
                <w:rFonts w:cstheme="minorHAnsi"/>
                <w:color w:val="000000"/>
              </w:rPr>
              <w:t>LGIM is</w:t>
            </w:r>
            <w:r w:rsidRPr="00FE1A82">
              <w:rPr>
                <w:rFonts w:cstheme="minorHAnsi"/>
                <w:color w:val="000000"/>
              </w:rPr>
              <w:t xml:space="preserve"> also seeking further transparency on their lobbying activities.</w:t>
            </w:r>
            <w:r w:rsidRPr="00FE1A82">
              <w:rPr>
                <w:rFonts w:cstheme="minorHAnsi"/>
                <w:color w:val="000000"/>
              </w:rPr>
              <w:br/>
              <w:t xml:space="preserve">The company remains on </w:t>
            </w:r>
            <w:r>
              <w:rPr>
                <w:rFonts w:cstheme="minorHAnsi"/>
                <w:color w:val="000000"/>
              </w:rPr>
              <w:t xml:space="preserve">their </w:t>
            </w:r>
            <w:r w:rsidRPr="00FE1A82">
              <w:rPr>
                <w:rFonts w:cstheme="minorHAnsi"/>
                <w:color w:val="000000"/>
              </w:rPr>
              <w:t xml:space="preserve">divestment list (for relevant funds), but </w:t>
            </w:r>
            <w:r>
              <w:rPr>
                <w:rFonts w:cstheme="minorHAnsi"/>
                <w:color w:val="000000"/>
              </w:rPr>
              <w:t xml:space="preserve">their </w:t>
            </w:r>
            <w:r w:rsidRPr="00FE1A82">
              <w:rPr>
                <w:rFonts w:cstheme="minorHAnsi"/>
                <w:color w:val="000000"/>
              </w:rPr>
              <w:t xml:space="preserve">engagement with them continues. In terms of </w:t>
            </w:r>
            <w:r>
              <w:rPr>
                <w:rFonts w:cstheme="minorHAnsi"/>
                <w:color w:val="000000"/>
              </w:rPr>
              <w:t xml:space="preserve">their </w:t>
            </w:r>
            <w:r w:rsidRPr="00FE1A82">
              <w:rPr>
                <w:rFonts w:cstheme="minorHAnsi"/>
                <w:color w:val="000000"/>
              </w:rPr>
              <w:t xml:space="preserve">next steps, </w:t>
            </w:r>
            <w:r>
              <w:rPr>
                <w:rFonts w:cstheme="minorHAnsi"/>
                <w:color w:val="000000"/>
              </w:rPr>
              <w:t xml:space="preserve">LGIM </w:t>
            </w:r>
            <w:r w:rsidRPr="00FE1A82">
              <w:rPr>
                <w:rFonts w:cstheme="minorHAnsi"/>
                <w:color w:val="000000"/>
              </w:rPr>
              <w:t xml:space="preserve">will continue </w:t>
            </w:r>
            <w:r>
              <w:rPr>
                <w:rFonts w:cstheme="minorHAnsi"/>
                <w:color w:val="000000"/>
              </w:rPr>
              <w:t xml:space="preserve">their </w:t>
            </w:r>
            <w:r w:rsidRPr="00FE1A82">
              <w:rPr>
                <w:rFonts w:cstheme="minorHAnsi"/>
                <w:color w:val="000000"/>
              </w:rPr>
              <w:t xml:space="preserve">direct engagements with the company under </w:t>
            </w:r>
            <w:r>
              <w:rPr>
                <w:rFonts w:cstheme="minorHAnsi"/>
                <w:color w:val="000000"/>
              </w:rPr>
              <w:t xml:space="preserve">their </w:t>
            </w:r>
            <w:r w:rsidRPr="00FE1A82">
              <w:rPr>
                <w:rFonts w:cstheme="minorHAnsi"/>
                <w:color w:val="000000"/>
              </w:rPr>
              <w:t xml:space="preserve">Climate Impact Pledge and separately, to better understand challenge Exxon on their approach to the energy transition, where financial material issues such as disclosure the potential costs to retire their long-lived assets and </w:t>
            </w:r>
            <w:r w:rsidRPr="00FE1A82">
              <w:rPr>
                <w:rFonts w:cstheme="minorHAnsi"/>
                <w:color w:val="000000"/>
              </w:rPr>
              <w:lastRenderedPageBreak/>
              <w:t xml:space="preserve">decarbonisation levers being some of the key discussion points. </w:t>
            </w:r>
            <w:r>
              <w:rPr>
                <w:rFonts w:cstheme="minorHAnsi"/>
                <w:color w:val="000000"/>
              </w:rPr>
              <w:t xml:space="preserve">LGIM </w:t>
            </w:r>
            <w:r w:rsidRPr="00FE1A82">
              <w:rPr>
                <w:rFonts w:cstheme="minorHAnsi"/>
                <w:color w:val="000000"/>
              </w:rPr>
              <w:t xml:space="preserve">will also be engaging with proxy advisors and fellow investors to better understand their voting rationale. </w:t>
            </w:r>
            <w:r w:rsidRPr="00FE1A82">
              <w:rPr>
                <w:rFonts w:cstheme="minorHAnsi"/>
                <w:color w:val="000000"/>
              </w:rPr>
              <w:br/>
            </w:r>
            <w:r>
              <w:rPr>
                <w:rFonts w:cstheme="minorHAnsi"/>
                <w:color w:val="000000"/>
              </w:rPr>
              <w:t xml:space="preserve">LGIM </w:t>
            </w:r>
            <w:r w:rsidRPr="00FE1A82">
              <w:rPr>
                <w:rFonts w:cstheme="minorHAnsi"/>
                <w:color w:val="000000"/>
              </w:rPr>
              <w:t>w</w:t>
            </w:r>
            <w:r>
              <w:rPr>
                <w:rFonts w:cstheme="minorHAnsi"/>
                <w:color w:val="000000"/>
              </w:rPr>
              <w:t>as</w:t>
            </w:r>
            <w:r w:rsidRPr="00FE1A82">
              <w:rPr>
                <w:rFonts w:cstheme="minorHAnsi"/>
                <w:color w:val="000000"/>
              </w:rPr>
              <w:t xml:space="preserve"> pleased to see progress from the company in terms of joining the Oil and Gas Methane Partnership (‘OGMP’) 2.0 – the flagship oil and gas reporting and mitigation programme on methane, of which many global oil and gas companies, including BP and Shell, are already members. </w:t>
            </w:r>
            <w:r>
              <w:rPr>
                <w:rFonts w:cstheme="minorHAnsi"/>
                <w:color w:val="000000"/>
              </w:rPr>
              <w:t xml:space="preserve">LGIM </w:t>
            </w:r>
            <w:r w:rsidRPr="00FE1A82">
              <w:rPr>
                <w:rFonts w:cstheme="minorHAnsi"/>
                <w:color w:val="000000"/>
              </w:rPr>
              <w:t>ha</w:t>
            </w:r>
            <w:r>
              <w:rPr>
                <w:rFonts w:cstheme="minorHAnsi"/>
                <w:color w:val="000000"/>
              </w:rPr>
              <w:t>s</w:t>
            </w:r>
            <w:r w:rsidRPr="00FE1A82">
              <w:rPr>
                <w:rFonts w:cstheme="minorHAnsi"/>
                <w:color w:val="000000"/>
              </w:rPr>
              <w:t xml:space="preserve"> been working closely and collaboratively with EDF to raise awareness of the issue (letters, meetings, public statements) and applying pressure on oil and gas companies to join the OGMP initiative since 2021 – Exxon </w:t>
            </w:r>
            <w:r w:rsidRPr="00FE1A82">
              <w:rPr>
                <w:rFonts w:cstheme="minorHAnsi"/>
                <w:color w:val="000000"/>
              </w:rPr>
              <w:lastRenderedPageBreak/>
              <w:t xml:space="preserve">being one of them, through </w:t>
            </w:r>
            <w:r>
              <w:rPr>
                <w:rFonts w:cstheme="minorHAnsi"/>
                <w:color w:val="000000"/>
              </w:rPr>
              <w:t xml:space="preserve">their </w:t>
            </w:r>
            <w:r w:rsidRPr="00FE1A82">
              <w:rPr>
                <w:rFonts w:cstheme="minorHAnsi"/>
                <w:color w:val="000000"/>
              </w:rPr>
              <w:t xml:space="preserve">direct engagements with the company under </w:t>
            </w:r>
            <w:r>
              <w:rPr>
                <w:rFonts w:cstheme="minorHAnsi"/>
                <w:color w:val="000000"/>
              </w:rPr>
              <w:t xml:space="preserve">their </w:t>
            </w:r>
            <w:r w:rsidRPr="00FE1A82">
              <w:rPr>
                <w:rFonts w:cstheme="minorHAnsi"/>
                <w:color w:val="000000"/>
              </w:rPr>
              <w:t>Climate Impact Pledge. Exxon had demonstrated reluctance, previously, to sign up to the OGMP and LGIM voted in fav</w:t>
            </w:r>
            <w:r>
              <w:rPr>
                <w:rFonts w:cstheme="minorHAnsi"/>
                <w:color w:val="000000"/>
              </w:rPr>
              <w:t xml:space="preserve">our </w:t>
            </w:r>
            <w:r w:rsidRPr="00FE1A82">
              <w:rPr>
                <w:rFonts w:cstheme="minorHAnsi"/>
                <w:color w:val="000000"/>
              </w:rPr>
              <w:t>of a shareholder resolution tabled at its 2023 AGM, requesting that the company produce a report on methane emission disclosure reliability, which received 36.4% support from shareholders. Public and shareholder pressure, growing membership of the OGMP and Exxon’s recent acquisition of OGMP member Pioneer Natural Resources appear to have swayed the company towards greater transparency.</w:t>
            </w:r>
            <w:r w:rsidRPr="00FE1A82">
              <w:rPr>
                <w:rFonts w:cstheme="minorHAnsi"/>
                <w:color w:val="000000"/>
              </w:rPr>
              <w:br/>
              <w:t xml:space="preserve">Greater transparency is crucial in terms of enabling markets and investors to accurately price </w:t>
            </w:r>
            <w:r w:rsidRPr="00FE1A82">
              <w:rPr>
                <w:rFonts w:cstheme="minorHAnsi"/>
                <w:color w:val="000000"/>
              </w:rPr>
              <w:lastRenderedPageBreak/>
              <w:t xml:space="preserve">climate-related risks and opportunities which, in turn, is an incentive for companies to make the changes </w:t>
            </w:r>
            <w:r>
              <w:rPr>
                <w:rFonts w:cstheme="minorHAnsi"/>
                <w:color w:val="000000"/>
              </w:rPr>
              <w:t>LGIM is</w:t>
            </w:r>
            <w:r w:rsidRPr="00FE1A82">
              <w:rPr>
                <w:rFonts w:cstheme="minorHAnsi"/>
                <w:color w:val="000000"/>
              </w:rPr>
              <w:t xml:space="preserve"> seeking. </w:t>
            </w:r>
          </w:p>
        </w:tc>
      </w:tr>
    </w:tbl>
    <w:p w14:paraId="790FCDD7" w14:textId="77777777" w:rsidR="004A6684" w:rsidRPr="00FB3864" w:rsidRDefault="004A6684" w:rsidP="00E91484">
      <w:pPr>
        <w:rPr>
          <w:sz w:val="18"/>
          <w:szCs w:val="18"/>
        </w:rPr>
      </w:pPr>
    </w:p>
    <w:sectPr w:rsidR="004A6684" w:rsidRPr="00FB3864" w:rsidSect="00C936EB">
      <w:headerReference w:type="default" r:id="rId12"/>
      <w:footerReference w:type="default" r:id="rId13"/>
      <w:headerReference w:type="first" r:id="rId14"/>
      <w:footerReference w:type="first" r:id="rId15"/>
      <w:pgSz w:w="11900" w:h="16840"/>
      <w:pgMar w:top="1985" w:right="1077" w:bottom="1418" w:left="1440" w:header="1440"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D99B1" w14:textId="77777777" w:rsidR="001A4A78" w:rsidRDefault="001A4A78" w:rsidP="00691ABE">
      <w:r>
        <w:separator/>
      </w:r>
    </w:p>
    <w:p w14:paraId="18BDE70E" w14:textId="77777777" w:rsidR="001A4A78" w:rsidRDefault="001A4A78"/>
    <w:p w14:paraId="4855D010" w14:textId="77777777" w:rsidR="001A4A78" w:rsidRDefault="001A4A78"/>
    <w:p w14:paraId="1F1BD6B2" w14:textId="77777777" w:rsidR="001A4A78" w:rsidRDefault="001A4A78"/>
    <w:p w14:paraId="0A083F30" w14:textId="77777777" w:rsidR="001A4A78" w:rsidRDefault="001A4A78"/>
  </w:endnote>
  <w:endnote w:type="continuationSeparator" w:id="0">
    <w:p w14:paraId="5C9D34EC" w14:textId="77777777" w:rsidR="001A4A78" w:rsidRDefault="001A4A78" w:rsidP="00691ABE">
      <w:r>
        <w:continuationSeparator/>
      </w:r>
    </w:p>
    <w:p w14:paraId="16041BE0" w14:textId="77777777" w:rsidR="001A4A78" w:rsidRDefault="001A4A78"/>
    <w:p w14:paraId="36AE278F" w14:textId="77777777" w:rsidR="001A4A78" w:rsidRDefault="001A4A78"/>
    <w:p w14:paraId="523061DB" w14:textId="77777777" w:rsidR="001A4A78" w:rsidRDefault="001A4A78"/>
    <w:p w14:paraId="2526DE49" w14:textId="77777777" w:rsidR="001A4A78" w:rsidRDefault="001A4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stem Font Regular">
    <w:altName w:val="Cambria"/>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121853"/>
      <w:docPartObj>
        <w:docPartGallery w:val="Page Numbers (Bottom of Page)"/>
        <w:docPartUnique/>
      </w:docPartObj>
    </w:sdtPr>
    <w:sdtEndPr>
      <w:rPr>
        <w:noProof/>
      </w:rPr>
    </w:sdtEndPr>
    <w:sdtContent>
      <w:p w14:paraId="1EC8C279" w14:textId="29562C2C" w:rsidR="00762FAA" w:rsidRDefault="00762F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47E0E" w14:textId="17225E1B" w:rsidR="00CF704D" w:rsidRPr="006077E2" w:rsidRDefault="00CF704D" w:rsidP="00A15316">
    <w:pPr>
      <w:pStyle w:val="CopyrightStatemen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6445621"/>
      <w:docPartObj>
        <w:docPartGallery w:val="Page Numbers (Bottom of Page)"/>
        <w:docPartUnique/>
      </w:docPartObj>
    </w:sdtPr>
    <w:sdtEndPr>
      <w:rPr>
        <w:noProof/>
      </w:rPr>
    </w:sdtEndPr>
    <w:sdtContent>
      <w:p w14:paraId="3AF22A8F" w14:textId="7502F3E7" w:rsidR="00762FAA" w:rsidRDefault="00762F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BE4273" w14:textId="77777777" w:rsidR="00762FAA" w:rsidRDefault="00762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22062" w14:textId="77777777" w:rsidR="001A4A78" w:rsidRDefault="001A4A78" w:rsidP="00691ABE">
      <w:r>
        <w:separator/>
      </w:r>
    </w:p>
    <w:p w14:paraId="5801150F" w14:textId="77777777" w:rsidR="001A4A78" w:rsidRDefault="001A4A78"/>
    <w:p w14:paraId="3C91C8E6" w14:textId="77777777" w:rsidR="001A4A78" w:rsidRDefault="001A4A78"/>
    <w:p w14:paraId="3FD50156" w14:textId="77777777" w:rsidR="001A4A78" w:rsidRDefault="001A4A78"/>
    <w:p w14:paraId="69A11BA7" w14:textId="77777777" w:rsidR="001A4A78" w:rsidRDefault="001A4A78"/>
  </w:footnote>
  <w:footnote w:type="continuationSeparator" w:id="0">
    <w:p w14:paraId="20053811" w14:textId="77777777" w:rsidR="001A4A78" w:rsidRDefault="001A4A78" w:rsidP="00691ABE">
      <w:r>
        <w:continuationSeparator/>
      </w:r>
    </w:p>
    <w:p w14:paraId="0344BA46" w14:textId="77777777" w:rsidR="001A4A78" w:rsidRDefault="001A4A78"/>
    <w:p w14:paraId="7EAAB796" w14:textId="77777777" w:rsidR="001A4A78" w:rsidRDefault="001A4A78"/>
    <w:p w14:paraId="7652037B" w14:textId="77777777" w:rsidR="001A4A78" w:rsidRDefault="001A4A78"/>
    <w:p w14:paraId="435C7E8B" w14:textId="77777777" w:rsidR="001A4A78" w:rsidRDefault="001A4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AB4A" w14:textId="79BC35B0" w:rsidR="00A30C56" w:rsidRPr="00A30C56" w:rsidRDefault="001E6C56">
    <w:pPr>
      <w:pStyle w:val="Header"/>
      <w:rPr>
        <w:szCs w:val="18"/>
      </w:rPr>
    </w:pPr>
    <w:r>
      <w:rPr>
        <w:szCs w:val="18"/>
      </w:rPr>
      <w:t>Engagement Policy Implementation Statement</w:t>
    </w:r>
    <w:r w:rsidR="00762FAA">
      <w:rPr>
        <w:szCs w:val="18"/>
      </w:rPr>
      <w:t xml:space="preserve"> for the year ending </w:t>
    </w:r>
    <w:r w:rsidR="008E6160">
      <w:rPr>
        <w:szCs w:val="18"/>
      </w:rPr>
      <w:t xml:space="preserve">31 March </w:t>
    </w:r>
    <w:r w:rsidR="0075001D">
      <w:rPr>
        <w:szCs w:val="18"/>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FCEF1" w14:textId="444FB0E0" w:rsidR="00187A06" w:rsidRPr="009F066B" w:rsidRDefault="00187A06" w:rsidP="009F066B">
    <w:pPr>
      <w:pStyle w:val="Header"/>
      <w:jc w:val="right"/>
      <w:rPr>
        <w:b/>
        <w:i/>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6CD6"/>
    <w:multiLevelType w:val="hybridMultilevel"/>
    <w:tmpl w:val="38AA29A0"/>
    <w:lvl w:ilvl="0" w:tplc="31561E40">
      <w:start w:val="1"/>
      <w:numFmt w:val="bullet"/>
      <w:lvlText w:val="–"/>
      <w:lvlJc w:val="left"/>
      <w:pPr>
        <w:tabs>
          <w:tab w:val="num" w:pos="720"/>
        </w:tabs>
        <w:ind w:left="720" w:hanging="360"/>
      </w:pPr>
      <w:rPr>
        <w:rFonts w:ascii="System Font Regular" w:hAnsi="System Font Regular" w:hint="default"/>
      </w:rPr>
    </w:lvl>
    <w:lvl w:ilvl="1" w:tplc="CE20275C">
      <w:start w:val="1"/>
      <w:numFmt w:val="bullet"/>
      <w:lvlText w:val="–"/>
      <w:lvlJc w:val="left"/>
      <w:pPr>
        <w:tabs>
          <w:tab w:val="num" w:pos="1440"/>
        </w:tabs>
        <w:ind w:left="1440" w:hanging="360"/>
      </w:pPr>
      <w:rPr>
        <w:rFonts w:ascii="System Font Regular" w:hAnsi="System Font Regular" w:hint="default"/>
      </w:rPr>
    </w:lvl>
    <w:lvl w:ilvl="2" w:tplc="6106BE46" w:tentative="1">
      <w:start w:val="1"/>
      <w:numFmt w:val="bullet"/>
      <w:lvlText w:val="–"/>
      <w:lvlJc w:val="left"/>
      <w:pPr>
        <w:tabs>
          <w:tab w:val="num" w:pos="2160"/>
        </w:tabs>
        <w:ind w:left="2160" w:hanging="360"/>
      </w:pPr>
      <w:rPr>
        <w:rFonts w:ascii="System Font Regular" w:hAnsi="System Font Regular" w:hint="default"/>
      </w:rPr>
    </w:lvl>
    <w:lvl w:ilvl="3" w:tplc="26AAC7FE" w:tentative="1">
      <w:start w:val="1"/>
      <w:numFmt w:val="bullet"/>
      <w:lvlText w:val="–"/>
      <w:lvlJc w:val="left"/>
      <w:pPr>
        <w:tabs>
          <w:tab w:val="num" w:pos="2880"/>
        </w:tabs>
        <w:ind w:left="2880" w:hanging="360"/>
      </w:pPr>
      <w:rPr>
        <w:rFonts w:ascii="System Font Regular" w:hAnsi="System Font Regular" w:hint="default"/>
      </w:rPr>
    </w:lvl>
    <w:lvl w:ilvl="4" w:tplc="D5C4716A" w:tentative="1">
      <w:start w:val="1"/>
      <w:numFmt w:val="bullet"/>
      <w:lvlText w:val="–"/>
      <w:lvlJc w:val="left"/>
      <w:pPr>
        <w:tabs>
          <w:tab w:val="num" w:pos="3600"/>
        </w:tabs>
        <w:ind w:left="3600" w:hanging="360"/>
      </w:pPr>
      <w:rPr>
        <w:rFonts w:ascii="System Font Regular" w:hAnsi="System Font Regular" w:hint="default"/>
      </w:rPr>
    </w:lvl>
    <w:lvl w:ilvl="5" w:tplc="540E0000" w:tentative="1">
      <w:start w:val="1"/>
      <w:numFmt w:val="bullet"/>
      <w:lvlText w:val="–"/>
      <w:lvlJc w:val="left"/>
      <w:pPr>
        <w:tabs>
          <w:tab w:val="num" w:pos="4320"/>
        </w:tabs>
        <w:ind w:left="4320" w:hanging="360"/>
      </w:pPr>
      <w:rPr>
        <w:rFonts w:ascii="System Font Regular" w:hAnsi="System Font Regular" w:hint="default"/>
      </w:rPr>
    </w:lvl>
    <w:lvl w:ilvl="6" w:tplc="4E14E2C4" w:tentative="1">
      <w:start w:val="1"/>
      <w:numFmt w:val="bullet"/>
      <w:lvlText w:val="–"/>
      <w:lvlJc w:val="left"/>
      <w:pPr>
        <w:tabs>
          <w:tab w:val="num" w:pos="5040"/>
        </w:tabs>
        <w:ind w:left="5040" w:hanging="360"/>
      </w:pPr>
      <w:rPr>
        <w:rFonts w:ascii="System Font Regular" w:hAnsi="System Font Regular" w:hint="default"/>
      </w:rPr>
    </w:lvl>
    <w:lvl w:ilvl="7" w:tplc="012C3D88" w:tentative="1">
      <w:start w:val="1"/>
      <w:numFmt w:val="bullet"/>
      <w:lvlText w:val="–"/>
      <w:lvlJc w:val="left"/>
      <w:pPr>
        <w:tabs>
          <w:tab w:val="num" w:pos="5760"/>
        </w:tabs>
        <w:ind w:left="5760" w:hanging="360"/>
      </w:pPr>
      <w:rPr>
        <w:rFonts w:ascii="System Font Regular" w:hAnsi="System Font Regular" w:hint="default"/>
      </w:rPr>
    </w:lvl>
    <w:lvl w:ilvl="8" w:tplc="F9860CE6" w:tentative="1">
      <w:start w:val="1"/>
      <w:numFmt w:val="bullet"/>
      <w:lvlText w:val="–"/>
      <w:lvlJc w:val="left"/>
      <w:pPr>
        <w:tabs>
          <w:tab w:val="num" w:pos="6480"/>
        </w:tabs>
        <w:ind w:left="6480" w:hanging="360"/>
      </w:pPr>
      <w:rPr>
        <w:rFonts w:ascii="System Font Regular" w:hAnsi="System Font Regular" w:hint="default"/>
      </w:rPr>
    </w:lvl>
  </w:abstractNum>
  <w:abstractNum w:abstractNumId="1" w15:restartNumberingAfterBreak="0">
    <w:nsid w:val="022D3048"/>
    <w:multiLevelType w:val="multilevel"/>
    <w:tmpl w:val="52387DE8"/>
    <w:numStyleLink w:val="StyleOutlinenumbered11ptLeft0Hanging025"/>
  </w:abstractNum>
  <w:abstractNum w:abstractNumId="2" w15:restartNumberingAfterBreak="0">
    <w:nsid w:val="02313A41"/>
    <w:multiLevelType w:val="multilevel"/>
    <w:tmpl w:val="7C1E0544"/>
    <w:styleLink w:val="Style2"/>
    <w:lvl w:ilvl="0">
      <w:start w:val="1"/>
      <w:numFmt w:val="bullet"/>
      <w:lvlText w:val=""/>
      <w:lvlJc w:val="left"/>
      <w:pPr>
        <w:ind w:left="215" w:hanging="215"/>
      </w:pPr>
      <w:rPr>
        <w:rFonts w:ascii="Symbol" w:hAnsi="Symbol" w:hint="default"/>
      </w:rPr>
    </w:lvl>
    <w:lvl w:ilvl="1">
      <w:start w:val="1"/>
      <w:numFmt w:val="bullet"/>
      <w:lvlText w:val="—"/>
      <w:lvlJc w:val="left"/>
      <w:pPr>
        <w:ind w:left="431" w:hanging="216"/>
      </w:pPr>
      <w:rPr>
        <w:rFonts w:ascii="Arial" w:hAnsi="Arial" w:hint="default"/>
        <w:color w:val="auto"/>
      </w:rPr>
    </w:lvl>
    <w:lvl w:ilvl="2">
      <w:start w:val="1"/>
      <w:numFmt w:val="bullet"/>
      <w:lvlText w:val=""/>
      <w:lvlJc w:val="left"/>
      <w:pPr>
        <w:tabs>
          <w:tab w:val="num" w:pos="1134"/>
        </w:tabs>
        <w:ind w:left="646" w:hanging="215"/>
      </w:pPr>
      <w:rPr>
        <w:rFonts w:ascii="Symbol" w:hAnsi="Symbol" w:hint="default"/>
        <w:color w:val="auto"/>
      </w:rPr>
    </w:lvl>
    <w:lvl w:ilvl="3">
      <w:start w:val="1"/>
      <w:numFmt w:val="bullet"/>
      <w:lvlText w:val=""/>
      <w:lvlJc w:val="left"/>
      <w:pPr>
        <w:ind w:left="1656" w:hanging="216"/>
      </w:pPr>
      <w:rPr>
        <w:rFonts w:ascii="Symbol" w:hAnsi="Symbol" w:hint="default"/>
      </w:rPr>
    </w:lvl>
    <w:lvl w:ilvl="4">
      <w:start w:val="1"/>
      <w:numFmt w:val="bullet"/>
      <w:lvlText w:val="–"/>
      <w:lvlJc w:val="left"/>
      <w:pPr>
        <w:ind w:left="1077" w:hanging="215"/>
      </w:pPr>
      <w:rPr>
        <w:rFonts w:ascii="Arial" w:hAnsi="Arial" w:hint="default"/>
        <w:color w:val="auto"/>
      </w:rPr>
    </w:lvl>
    <w:lvl w:ilvl="5">
      <w:start w:val="1"/>
      <w:numFmt w:val="bullet"/>
      <w:lvlText w:val="–"/>
      <w:lvlJc w:val="left"/>
      <w:pPr>
        <w:ind w:left="1298" w:hanging="221"/>
      </w:pPr>
      <w:rPr>
        <w:rFonts w:ascii="Arial" w:hAnsi="Arial" w:hint="default"/>
        <w:color w:val="auto"/>
      </w:rPr>
    </w:lvl>
    <w:lvl w:ilvl="6">
      <w:start w:val="1"/>
      <w:numFmt w:val="bullet"/>
      <w:lvlText w:val="–"/>
      <w:lvlJc w:val="left"/>
      <w:pPr>
        <w:ind w:left="1514" w:hanging="216"/>
      </w:pPr>
      <w:rPr>
        <w:rFonts w:ascii="Arial" w:hAnsi="Arial" w:hint="default"/>
        <w:color w:val="auto"/>
      </w:rPr>
    </w:lvl>
    <w:lvl w:ilvl="7">
      <w:start w:val="1"/>
      <w:numFmt w:val="bullet"/>
      <w:lvlText w:val="–"/>
      <w:lvlJc w:val="left"/>
      <w:pPr>
        <w:ind w:left="1729" w:hanging="215"/>
      </w:pPr>
      <w:rPr>
        <w:rFonts w:ascii="Arial" w:hAnsi="Arial" w:hint="default"/>
        <w:color w:val="auto"/>
      </w:rPr>
    </w:lvl>
    <w:lvl w:ilvl="8">
      <w:start w:val="1"/>
      <w:numFmt w:val="bullet"/>
      <w:lvlText w:val="–"/>
      <w:lvlJc w:val="left"/>
      <w:pPr>
        <w:ind w:left="1945" w:hanging="216"/>
      </w:pPr>
      <w:rPr>
        <w:rFonts w:ascii="Arial" w:hAnsi="Arial" w:hint="default"/>
        <w:color w:val="auto"/>
      </w:rPr>
    </w:lvl>
  </w:abstractNum>
  <w:abstractNum w:abstractNumId="3" w15:restartNumberingAfterBreak="0">
    <w:nsid w:val="05123204"/>
    <w:multiLevelType w:val="multilevel"/>
    <w:tmpl w:val="52387DE8"/>
    <w:styleLink w:val="StyleOutlinenumbered11ptLeft0Hanging025"/>
    <w:lvl w:ilvl="0">
      <w:start w:val="1"/>
      <w:numFmt w:val="decimal"/>
      <w:lvlText w:val="%1."/>
      <w:lvlJc w:val="left"/>
      <w:pPr>
        <w:ind w:left="360" w:hanging="360"/>
      </w:pPr>
      <w:rPr>
        <w:rFonts w:ascii="Arial" w:hAnsi="Arial"/>
        <w:sz w:val="20"/>
      </w:rPr>
    </w:lvl>
    <w:lvl w:ilvl="1">
      <w:start w:val="1"/>
      <w:numFmt w:val="lowerLetter"/>
      <w:lvlText w:val="%2."/>
      <w:lvlJc w:val="left"/>
      <w:pPr>
        <w:ind w:left="576" w:hanging="216"/>
      </w:pPr>
      <w:rPr>
        <w:rFonts w:ascii="Arial" w:hAnsi="Arial" w:hint="default"/>
      </w:rPr>
    </w:lvl>
    <w:lvl w:ilvl="2">
      <w:start w:val="1"/>
      <w:numFmt w:val="bullet"/>
      <w:lvlText w:val="•"/>
      <w:lvlJc w:val="left"/>
      <w:pPr>
        <w:ind w:left="792" w:hanging="216"/>
      </w:pPr>
      <w:rPr>
        <w:rFonts w:ascii="Arial" w:hAnsi="Arial" w:hint="default"/>
        <w:color w:val="auto"/>
      </w:rPr>
    </w:lvl>
    <w:lvl w:ilvl="3">
      <w:start w:val="1"/>
      <w:numFmt w:val="bullet"/>
      <w:lvlText w:val="–"/>
      <w:lvlJc w:val="left"/>
      <w:pPr>
        <w:ind w:left="1008" w:hanging="216"/>
      </w:pPr>
      <w:rPr>
        <w:rFonts w:ascii="Arial" w:hAnsi="Arial" w:hint="default"/>
        <w:color w:val="auto"/>
      </w:rPr>
    </w:lvl>
    <w:lvl w:ilvl="4">
      <w:start w:val="1"/>
      <w:numFmt w:val="bullet"/>
      <w:lvlText w:val="–"/>
      <w:lvlJc w:val="left"/>
      <w:pPr>
        <w:ind w:left="1224" w:hanging="216"/>
      </w:pPr>
      <w:rPr>
        <w:rFonts w:ascii="Arial" w:hAnsi="Arial" w:hint="default"/>
        <w:color w:val="auto"/>
      </w:rPr>
    </w:lvl>
    <w:lvl w:ilvl="5">
      <w:start w:val="1"/>
      <w:numFmt w:val="bullet"/>
      <w:lvlText w:val="–"/>
      <w:lvlJc w:val="left"/>
      <w:pPr>
        <w:ind w:left="1440" w:hanging="216"/>
      </w:pPr>
      <w:rPr>
        <w:rFonts w:ascii="Arial" w:hAnsi="Arial" w:hint="default"/>
        <w:color w:val="auto"/>
      </w:rPr>
    </w:lvl>
    <w:lvl w:ilvl="6">
      <w:start w:val="1"/>
      <w:numFmt w:val="bullet"/>
      <w:lvlText w:val="–"/>
      <w:lvlJc w:val="left"/>
      <w:pPr>
        <w:ind w:left="1656" w:hanging="216"/>
      </w:pPr>
      <w:rPr>
        <w:rFonts w:ascii="Arial" w:hAnsi="Arial" w:hint="default"/>
        <w:color w:val="auto"/>
      </w:rPr>
    </w:lvl>
    <w:lvl w:ilvl="7">
      <w:start w:val="1"/>
      <w:numFmt w:val="bullet"/>
      <w:lvlText w:val="–"/>
      <w:lvlJc w:val="left"/>
      <w:pPr>
        <w:ind w:left="1872" w:hanging="216"/>
      </w:pPr>
      <w:rPr>
        <w:rFonts w:ascii="Arial" w:hAnsi="Arial" w:hint="default"/>
        <w:color w:val="auto"/>
      </w:rPr>
    </w:lvl>
    <w:lvl w:ilvl="8">
      <w:start w:val="1"/>
      <w:numFmt w:val="bullet"/>
      <w:lvlText w:val="–"/>
      <w:lvlJc w:val="left"/>
      <w:pPr>
        <w:ind w:left="2088" w:hanging="216"/>
      </w:pPr>
      <w:rPr>
        <w:rFonts w:ascii="Arial" w:hAnsi="Arial" w:hint="default"/>
        <w:color w:val="FFFFFF" w:themeColor="background1"/>
      </w:rPr>
    </w:lvl>
  </w:abstractNum>
  <w:abstractNum w:abstractNumId="4" w15:restartNumberingAfterBreak="0">
    <w:nsid w:val="07295B52"/>
    <w:multiLevelType w:val="hybridMultilevel"/>
    <w:tmpl w:val="32A8D462"/>
    <w:lvl w:ilvl="0" w:tplc="409E599C">
      <w:start w:val="1"/>
      <w:numFmt w:val="bullet"/>
      <w:lvlText w:val="–"/>
      <w:lvlJc w:val="left"/>
      <w:pPr>
        <w:tabs>
          <w:tab w:val="num" w:pos="720"/>
        </w:tabs>
        <w:ind w:left="720" w:hanging="360"/>
      </w:pPr>
      <w:rPr>
        <w:rFonts w:ascii="System Font Regular" w:hAnsi="System Font Regular" w:hint="default"/>
      </w:rPr>
    </w:lvl>
    <w:lvl w:ilvl="1" w:tplc="347A911E">
      <w:start w:val="1"/>
      <w:numFmt w:val="bullet"/>
      <w:lvlText w:val="–"/>
      <w:lvlJc w:val="left"/>
      <w:pPr>
        <w:tabs>
          <w:tab w:val="num" w:pos="1440"/>
        </w:tabs>
        <w:ind w:left="1440" w:hanging="360"/>
      </w:pPr>
      <w:rPr>
        <w:rFonts w:ascii="System Font Regular" w:hAnsi="System Font Regular" w:hint="default"/>
      </w:rPr>
    </w:lvl>
    <w:lvl w:ilvl="2" w:tplc="D13A444E" w:tentative="1">
      <w:start w:val="1"/>
      <w:numFmt w:val="bullet"/>
      <w:lvlText w:val="–"/>
      <w:lvlJc w:val="left"/>
      <w:pPr>
        <w:tabs>
          <w:tab w:val="num" w:pos="2160"/>
        </w:tabs>
        <w:ind w:left="2160" w:hanging="360"/>
      </w:pPr>
      <w:rPr>
        <w:rFonts w:ascii="System Font Regular" w:hAnsi="System Font Regular" w:hint="default"/>
      </w:rPr>
    </w:lvl>
    <w:lvl w:ilvl="3" w:tplc="DB420E42" w:tentative="1">
      <w:start w:val="1"/>
      <w:numFmt w:val="bullet"/>
      <w:lvlText w:val="–"/>
      <w:lvlJc w:val="left"/>
      <w:pPr>
        <w:tabs>
          <w:tab w:val="num" w:pos="2880"/>
        </w:tabs>
        <w:ind w:left="2880" w:hanging="360"/>
      </w:pPr>
      <w:rPr>
        <w:rFonts w:ascii="System Font Regular" w:hAnsi="System Font Regular" w:hint="default"/>
      </w:rPr>
    </w:lvl>
    <w:lvl w:ilvl="4" w:tplc="43883646" w:tentative="1">
      <w:start w:val="1"/>
      <w:numFmt w:val="bullet"/>
      <w:lvlText w:val="–"/>
      <w:lvlJc w:val="left"/>
      <w:pPr>
        <w:tabs>
          <w:tab w:val="num" w:pos="3600"/>
        </w:tabs>
        <w:ind w:left="3600" w:hanging="360"/>
      </w:pPr>
      <w:rPr>
        <w:rFonts w:ascii="System Font Regular" w:hAnsi="System Font Regular" w:hint="default"/>
      </w:rPr>
    </w:lvl>
    <w:lvl w:ilvl="5" w:tplc="66401718" w:tentative="1">
      <w:start w:val="1"/>
      <w:numFmt w:val="bullet"/>
      <w:lvlText w:val="–"/>
      <w:lvlJc w:val="left"/>
      <w:pPr>
        <w:tabs>
          <w:tab w:val="num" w:pos="4320"/>
        </w:tabs>
        <w:ind w:left="4320" w:hanging="360"/>
      </w:pPr>
      <w:rPr>
        <w:rFonts w:ascii="System Font Regular" w:hAnsi="System Font Regular" w:hint="default"/>
      </w:rPr>
    </w:lvl>
    <w:lvl w:ilvl="6" w:tplc="5DEE0034" w:tentative="1">
      <w:start w:val="1"/>
      <w:numFmt w:val="bullet"/>
      <w:lvlText w:val="–"/>
      <w:lvlJc w:val="left"/>
      <w:pPr>
        <w:tabs>
          <w:tab w:val="num" w:pos="5040"/>
        </w:tabs>
        <w:ind w:left="5040" w:hanging="360"/>
      </w:pPr>
      <w:rPr>
        <w:rFonts w:ascii="System Font Regular" w:hAnsi="System Font Regular" w:hint="default"/>
      </w:rPr>
    </w:lvl>
    <w:lvl w:ilvl="7" w:tplc="3C726CD8" w:tentative="1">
      <w:start w:val="1"/>
      <w:numFmt w:val="bullet"/>
      <w:lvlText w:val="–"/>
      <w:lvlJc w:val="left"/>
      <w:pPr>
        <w:tabs>
          <w:tab w:val="num" w:pos="5760"/>
        </w:tabs>
        <w:ind w:left="5760" w:hanging="360"/>
      </w:pPr>
      <w:rPr>
        <w:rFonts w:ascii="System Font Regular" w:hAnsi="System Font Regular" w:hint="default"/>
      </w:rPr>
    </w:lvl>
    <w:lvl w:ilvl="8" w:tplc="266AFD02" w:tentative="1">
      <w:start w:val="1"/>
      <w:numFmt w:val="bullet"/>
      <w:lvlText w:val="–"/>
      <w:lvlJc w:val="left"/>
      <w:pPr>
        <w:tabs>
          <w:tab w:val="num" w:pos="6480"/>
        </w:tabs>
        <w:ind w:left="6480" w:hanging="360"/>
      </w:pPr>
      <w:rPr>
        <w:rFonts w:ascii="System Font Regular" w:hAnsi="System Font Regular" w:hint="default"/>
      </w:rPr>
    </w:lvl>
  </w:abstractNum>
  <w:abstractNum w:abstractNumId="5" w15:restartNumberingAfterBreak="0">
    <w:nsid w:val="0A6918ED"/>
    <w:multiLevelType w:val="multilevel"/>
    <w:tmpl w:val="08527B82"/>
    <w:styleLink w:val="StyleOutlinenumberedSymbolsymbolLeft0Hanging0152"/>
    <w:lvl w:ilvl="0">
      <w:start w:val="1"/>
      <w:numFmt w:val="bullet"/>
      <w:lvlText w:val=""/>
      <w:lvlJc w:val="left"/>
      <w:pPr>
        <w:ind w:left="215" w:hanging="215"/>
      </w:pPr>
      <w:rPr>
        <w:rFonts w:ascii="Symbol" w:hAnsi="Symbol"/>
      </w:rPr>
    </w:lvl>
    <w:lvl w:ilvl="1">
      <w:start w:val="1"/>
      <w:numFmt w:val="bullet"/>
      <w:lvlText w:val="—"/>
      <w:lvlJc w:val="left"/>
      <w:pPr>
        <w:ind w:left="936" w:hanging="216"/>
      </w:pPr>
      <w:rPr>
        <w:rFonts w:ascii="Arial" w:hAnsi="Arial" w:hint="default"/>
        <w:color w:val="auto"/>
      </w:rPr>
    </w:lvl>
    <w:lvl w:ilvl="2">
      <w:start w:val="1"/>
      <w:numFmt w:val="bullet"/>
      <w:lvlText w:val=""/>
      <w:lvlJc w:val="left"/>
      <w:pPr>
        <w:tabs>
          <w:tab w:val="num" w:pos="1134"/>
        </w:tabs>
        <w:ind w:left="1655" w:hanging="215"/>
      </w:pPr>
      <w:rPr>
        <w:rFonts w:ascii="Symbol" w:hAnsi="Symbol" w:hint="default"/>
        <w:color w:val="auto"/>
      </w:rPr>
    </w:lvl>
    <w:lvl w:ilvl="3">
      <w:start w:val="1"/>
      <w:numFmt w:val="bullet"/>
      <w:lvlText w:val=""/>
      <w:lvlJc w:val="left"/>
      <w:pPr>
        <w:ind w:left="2376" w:hanging="216"/>
      </w:pPr>
      <w:rPr>
        <w:rFonts w:ascii="Symbol" w:hAnsi="Symbol" w:hint="default"/>
      </w:rPr>
    </w:lvl>
    <w:lvl w:ilvl="4">
      <w:start w:val="1"/>
      <w:numFmt w:val="bullet"/>
      <w:lvlText w:val="–"/>
      <w:lvlJc w:val="left"/>
      <w:pPr>
        <w:ind w:left="1077" w:hanging="215"/>
      </w:pPr>
      <w:rPr>
        <w:rFonts w:ascii="Arial" w:hAnsi="Arial" w:hint="default"/>
        <w:color w:val="auto"/>
      </w:rPr>
    </w:lvl>
    <w:lvl w:ilvl="5">
      <w:start w:val="1"/>
      <w:numFmt w:val="bullet"/>
      <w:lvlText w:val="–"/>
      <w:lvlJc w:val="left"/>
      <w:pPr>
        <w:ind w:left="1298" w:hanging="221"/>
      </w:pPr>
      <w:rPr>
        <w:rFonts w:ascii="Arial" w:hAnsi="Arial" w:hint="default"/>
        <w:color w:val="auto"/>
      </w:rPr>
    </w:lvl>
    <w:lvl w:ilvl="6">
      <w:start w:val="1"/>
      <w:numFmt w:val="bullet"/>
      <w:lvlText w:val="–"/>
      <w:lvlJc w:val="left"/>
      <w:pPr>
        <w:ind w:left="1514" w:hanging="216"/>
      </w:pPr>
      <w:rPr>
        <w:rFonts w:ascii="Arial" w:hAnsi="Arial" w:hint="default"/>
        <w:color w:val="auto"/>
      </w:rPr>
    </w:lvl>
    <w:lvl w:ilvl="7">
      <w:start w:val="1"/>
      <w:numFmt w:val="bullet"/>
      <w:lvlText w:val="–"/>
      <w:lvlJc w:val="left"/>
      <w:pPr>
        <w:ind w:left="1729" w:hanging="215"/>
      </w:pPr>
      <w:rPr>
        <w:rFonts w:ascii="Arial" w:hAnsi="Arial" w:hint="default"/>
        <w:color w:val="auto"/>
      </w:rPr>
    </w:lvl>
    <w:lvl w:ilvl="8">
      <w:start w:val="1"/>
      <w:numFmt w:val="bullet"/>
      <w:lvlText w:val="–"/>
      <w:lvlJc w:val="left"/>
      <w:pPr>
        <w:ind w:left="1945" w:hanging="216"/>
      </w:pPr>
      <w:rPr>
        <w:rFonts w:ascii="Arial" w:hAnsi="Arial" w:hint="default"/>
        <w:color w:val="auto"/>
      </w:rPr>
    </w:lvl>
  </w:abstractNum>
  <w:abstractNum w:abstractNumId="6" w15:restartNumberingAfterBreak="0">
    <w:nsid w:val="0BD05A1B"/>
    <w:multiLevelType w:val="multilevel"/>
    <w:tmpl w:val="299EEE84"/>
    <w:lvl w:ilvl="0">
      <w:start w:val="1"/>
      <w:numFmt w:val="decimal"/>
      <w:lvlText w:val="%1."/>
      <w:lvlJc w:val="left"/>
      <w:pPr>
        <w:ind w:left="215" w:hanging="215"/>
      </w:pPr>
      <w:rPr>
        <w:rFonts w:hint="default"/>
      </w:rPr>
    </w:lvl>
    <w:lvl w:ilvl="1">
      <w:start w:val="1"/>
      <w:numFmt w:val="bullet"/>
      <w:lvlText w:val="–"/>
      <w:lvlJc w:val="left"/>
      <w:pPr>
        <w:ind w:left="431" w:hanging="216"/>
      </w:pPr>
      <w:rPr>
        <w:rFonts w:ascii="Arial" w:hAnsi="Arial" w:hint="default"/>
        <w:color w:val="auto"/>
      </w:rPr>
    </w:lvl>
    <w:lvl w:ilvl="2">
      <w:start w:val="1"/>
      <w:numFmt w:val="bullet"/>
      <w:lvlText w:val="–"/>
      <w:lvlJc w:val="left"/>
      <w:pPr>
        <w:tabs>
          <w:tab w:val="num" w:pos="1134"/>
        </w:tabs>
        <w:ind w:left="646" w:hanging="215"/>
      </w:pPr>
      <w:rPr>
        <w:rFonts w:ascii="Arial" w:hAnsi="Arial" w:hint="default"/>
        <w:color w:val="auto"/>
      </w:rPr>
    </w:lvl>
    <w:lvl w:ilvl="3">
      <w:start w:val="1"/>
      <w:numFmt w:val="bullet"/>
      <w:lvlText w:val="–"/>
      <w:lvlJc w:val="left"/>
      <w:pPr>
        <w:ind w:left="862" w:hanging="216"/>
      </w:pPr>
      <w:rPr>
        <w:rFonts w:ascii="Arial" w:hAnsi="Arial" w:hint="default"/>
        <w:color w:val="auto"/>
      </w:rPr>
    </w:lvl>
    <w:lvl w:ilvl="4">
      <w:start w:val="1"/>
      <w:numFmt w:val="bullet"/>
      <w:lvlText w:val="–"/>
      <w:lvlJc w:val="left"/>
      <w:pPr>
        <w:ind w:left="1077" w:hanging="215"/>
      </w:pPr>
      <w:rPr>
        <w:rFonts w:ascii="Arial" w:hAnsi="Arial" w:hint="default"/>
        <w:color w:val="auto"/>
      </w:rPr>
    </w:lvl>
    <w:lvl w:ilvl="5">
      <w:start w:val="1"/>
      <w:numFmt w:val="bullet"/>
      <w:lvlText w:val="–"/>
      <w:lvlJc w:val="left"/>
      <w:pPr>
        <w:ind w:left="1298" w:hanging="221"/>
      </w:pPr>
      <w:rPr>
        <w:rFonts w:ascii="Arial" w:hAnsi="Arial" w:hint="default"/>
        <w:color w:val="auto"/>
      </w:rPr>
    </w:lvl>
    <w:lvl w:ilvl="6">
      <w:start w:val="1"/>
      <w:numFmt w:val="bullet"/>
      <w:lvlText w:val="–"/>
      <w:lvlJc w:val="left"/>
      <w:pPr>
        <w:ind w:left="1514" w:hanging="216"/>
      </w:pPr>
      <w:rPr>
        <w:rFonts w:ascii="Arial" w:hAnsi="Arial" w:hint="default"/>
        <w:color w:val="auto"/>
      </w:rPr>
    </w:lvl>
    <w:lvl w:ilvl="7">
      <w:start w:val="1"/>
      <w:numFmt w:val="bullet"/>
      <w:lvlText w:val="–"/>
      <w:lvlJc w:val="left"/>
      <w:pPr>
        <w:ind w:left="1729" w:hanging="215"/>
      </w:pPr>
      <w:rPr>
        <w:rFonts w:ascii="Arial" w:hAnsi="Arial" w:hint="default"/>
        <w:color w:val="auto"/>
      </w:rPr>
    </w:lvl>
    <w:lvl w:ilvl="8">
      <w:start w:val="1"/>
      <w:numFmt w:val="bullet"/>
      <w:lvlText w:val="–"/>
      <w:lvlJc w:val="left"/>
      <w:pPr>
        <w:ind w:left="1945" w:hanging="216"/>
      </w:pPr>
      <w:rPr>
        <w:rFonts w:ascii="Arial" w:hAnsi="Arial" w:hint="default"/>
        <w:color w:val="auto"/>
      </w:rPr>
    </w:lvl>
  </w:abstractNum>
  <w:abstractNum w:abstractNumId="7" w15:restartNumberingAfterBreak="0">
    <w:nsid w:val="13B714D1"/>
    <w:multiLevelType w:val="multilevel"/>
    <w:tmpl w:val="6E38E888"/>
    <w:lvl w:ilvl="0">
      <w:start w:val="1"/>
      <w:numFmt w:val="bullet"/>
      <w:lvlText w:val="•"/>
      <w:lvlJc w:val="left"/>
      <w:pPr>
        <w:ind w:left="216" w:hanging="216"/>
      </w:pPr>
      <w:rPr>
        <w:rFonts w:ascii="Arial" w:hAnsi="Arial" w:hint="default"/>
        <w:color w:val="auto"/>
      </w:rPr>
    </w:lvl>
    <w:lvl w:ilvl="1">
      <w:start w:val="1"/>
      <w:numFmt w:val="bullet"/>
      <w:lvlText w:val="–"/>
      <w:lvlJc w:val="left"/>
      <w:pPr>
        <w:ind w:left="432" w:hanging="216"/>
      </w:pPr>
      <w:rPr>
        <w:rFonts w:ascii="Arial" w:hAnsi="Arial" w:hint="default"/>
        <w:color w:val="auto"/>
      </w:rPr>
    </w:lvl>
    <w:lvl w:ilvl="2">
      <w:start w:val="1"/>
      <w:numFmt w:val="bullet"/>
      <w:lvlText w:val="–"/>
      <w:lvlJc w:val="left"/>
      <w:pPr>
        <w:ind w:left="648" w:hanging="216"/>
      </w:pPr>
      <w:rPr>
        <w:rFonts w:ascii="Arial" w:hAnsi="Arial" w:hint="default"/>
        <w:color w:val="auto"/>
      </w:rPr>
    </w:lvl>
    <w:lvl w:ilvl="3">
      <w:start w:val="1"/>
      <w:numFmt w:val="bullet"/>
      <w:lvlText w:val="–"/>
      <w:lvlJc w:val="left"/>
      <w:pPr>
        <w:ind w:left="864" w:hanging="216"/>
      </w:pPr>
      <w:rPr>
        <w:rFonts w:ascii="Arial" w:hAnsi="Arial" w:hint="default"/>
        <w:color w:val="auto"/>
      </w:rPr>
    </w:lvl>
    <w:lvl w:ilvl="4">
      <w:start w:val="1"/>
      <w:numFmt w:val="bullet"/>
      <w:lvlText w:val="–"/>
      <w:lvlJc w:val="left"/>
      <w:pPr>
        <w:ind w:left="1080" w:hanging="216"/>
      </w:pPr>
      <w:rPr>
        <w:rFonts w:ascii="Arial" w:hAnsi="Arial" w:hint="default"/>
        <w:color w:val="auto"/>
      </w:rPr>
    </w:lvl>
    <w:lvl w:ilvl="5">
      <w:start w:val="1"/>
      <w:numFmt w:val="bullet"/>
      <w:lvlText w:val="–"/>
      <w:lvlJc w:val="left"/>
      <w:pPr>
        <w:ind w:left="1296" w:hanging="216"/>
      </w:pPr>
      <w:rPr>
        <w:rFonts w:ascii="Arial" w:hAnsi="Arial" w:hint="default"/>
        <w:color w:val="auto"/>
      </w:rPr>
    </w:lvl>
    <w:lvl w:ilvl="6">
      <w:start w:val="1"/>
      <w:numFmt w:val="bullet"/>
      <w:lvlText w:val="–"/>
      <w:lvlJc w:val="left"/>
      <w:pPr>
        <w:ind w:left="1512" w:hanging="216"/>
      </w:pPr>
      <w:rPr>
        <w:rFonts w:ascii="Arial" w:hAnsi="Arial" w:hint="default"/>
        <w:color w:val="auto"/>
      </w:rPr>
    </w:lvl>
    <w:lvl w:ilvl="7">
      <w:start w:val="1"/>
      <w:numFmt w:val="bullet"/>
      <w:lvlText w:val="–"/>
      <w:lvlJc w:val="left"/>
      <w:pPr>
        <w:ind w:left="1728" w:hanging="216"/>
      </w:pPr>
      <w:rPr>
        <w:rFonts w:ascii="Arial" w:hAnsi="Arial" w:hint="default"/>
        <w:color w:val="auto"/>
      </w:rPr>
    </w:lvl>
    <w:lvl w:ilvl="8">
      <w:start w:val="1"/>
      <w:numFmt w:val="bullet"/>
      <w:lvlText w:val="–"/>
      <w:lvlJc w:val="left"/>
      <w:pPr>
        <w:ind w:left="1944" w:hanging="216"/>
      </w:pPr>
      <w:rPr>
        <w:rFonts w:ascii="Arial" w:hAnsi="Arial" w:hint="default"/>
        <w:color w:val="auto"/>
      </w:rPr>
    </w:lvl>
  </w:abstractNum>
  <w:abstractNum w:abstractNumId="8" w15:restartNumberingAfterBreak="0">
    <w:nsid w:val="205E6BA9"/>
    <w:multiLevelType w:val="hybridMultilevel"/>
    <w:tmpl w:val="1F4AC8EA"/>
    <w:lvl w:ilvl="0" w:tplc="8A44F3F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9D5B45"/>
    <w:multiLevelType w:val="hybridMultilevel"/>
    <w:tmpl w:val="587A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D7D39"/>
    <w:multiLevelType w:val="hybridMultilevel"/>
    <w:tmpl w:val="8C38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C8B"/>
    <w:multiLevelType w:val="hybridMultilevel"/>
    <w:tmpl w:val="B6FC6AF8"/>
    <w:lvl w:ilvl="0" w:tplc="888CD988">
      <w:start w:val="1"/>
      <w:numFmt w:val="decimal"/>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2" w15:restartNumberingAfterBreak="0">
    <w:nsid w:val="2D625391"/>
    <w:multiLevelType w:val="hybridMultilevel"/>
    <w:tmpl w:val="2676D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944CCA"/>
    <w:multiLevelType w:val="hybridMultilevel"/>
    <w:tmpl w:val="3DD0A862"/>
    <w:lvl w:ilvl="0" w:tplc="2062AEDC">
      <w:start w:val="1"/>
      <w:numFmt w:val="bullet"/>
      <w:lvlText w:val="–"/>
      <w:lvlJc w:val="left"/>
      <w:pPr>
        <w:tabs>
          <w:tab w:val="num" w:pos="720"/>
        </w:tabs>
        <w:ind w:left="720" w:hanging="360"/>
      </w:pPr>
      <w:rPr>
        <w:rFonts w:ascii="System Font Regular" w:hAnsi="System Font Regular" w:hint="default"/>
      </w:rPr>
    </w:lvl>
    <w:lvl w:ilvl="1" w:tplc="D96C8192">
      <w:start w:val="1"/>
      <w:numFmt w:val="bullet"/>
      <w:lvlText w:val="–"/>
      <w:lvlJc w:val="left"/>
      <w:pPr>
        <w:tabs>
          <w:tab w:val="num" w:pos="1440"/>
        </w:tabs>
        <w:ind w:left="1440" w:hanging="360"/>
      </w:pPr>
      <w:rPr>
        <w:rFonts w:ascii="System Font Regular" w:hAnsi="System Font Regular" w:hint="default"/>
      </w:rPr>
    </w:lvl>
    <w:lvl w:ilvl="2" w:tplc="22764DFE" w:tentative="1">
      <w:start w:val="1"/>
      <w:numFmt w:val="bullet"/>
      <w:lvlText w:val="–"/>
      <w:lvlJc w:val="left"/>
      <w:pPr>
        <w:tabs>
          <w:tab w:val="num" w:pos="2160"/>
        </w:tabs>
        <w:ind w:left="2160" w:hanging="360"/>
      </w:pPr>
      <w:rPr>
        <w:rFonts w:ascii="System Font Regular" w:hAnsi="System Font Regular" w:hint="default"/>
      </w:rPr>
    </w:lvl>
    <w:lvl w:ilvl="3" w:tplc="6D4C7520" w:tentative="1">
      <w:start w:val="1"/>
      <w:numFmt w:val="bullet"/>
      <w:lvlText w:val="–"/>
      <w:lvlJc w:val="left"/>
      <w:pPr>
        <w:tabs>
          <w:tab w:val="num" w:pos="2880"/>
        </w:tabs>
        <w:ind w:left="2880" w:hanging="360"/>
      </w:pPr>
      <w:rPr>
        <w:rFonts w:ascii="System Font Regular" w:hAnsi="System Font Regular" w:hint="default"/>
      </w:rPr>
    </w:lvl>
    <w:lvl w:ilvl="4" w:tplc="E030105C" w:tentative="1">
      <w:start w:val="1"/>
      <w:numFmt w:val="bullet"/>
      <w:lvlText w:val="–"/>
      <w:lvlJc w:val="left"/>
      <w:pPr>
        <w:tabs>
          <w:tab w:val="num" w:pos="3600"/>
        </w:tabs>
        <w:ind w:left="3600" w:hanging="360"/>
      </w:pPr>
      <w:rPr>
        <w:rFonts w:ascii="System Font Regular" w:hAnsi="System Font Regular" w:hint="default"/>
      </w:rPr>
    </w:lvl>
    <w:lvl w:ilvl="5" w:tplc="DA78C2C2" w:tentative="1">
      <w:start w:val="1"/>
      <w:numFmt w:val="bullet"/>
      <w:lvlText w:val="–"/>
      <w:lvlJc w:val="left"/>
      <w:pPr>
        <w:tabs>
          <w:tab w:val="num" w:pos="4320"/>
        </w:tabs>
        <w:ind w:left="4320" w:hanging="360"/>
      </w:pPr>
      <w:rPr>
        <w:rFonts w:ascii="System Font Regular" w:hAnsi="System Font Regular" w:hint="default"/>
      </w:rPr>
    </w:lvl>
    <w:lvl w:ilvl="6" w:tplc="2A848BF2" w:tentative="1">
      <w:start w:val="1"/>
      <w:numFmt w:val="bullet"/>
      <w:lvlText w:val="–"/>
      <w:lvlJc w:val="left"/>
      <w:pPr>
        <w:tabs>
          <w:tab w:val="num" w:pos="5040"/>
        </w:tabs>
        <w:ind w:left="5040" w:hanging="360"/>
      </w:pPr>
      <w:rPr>
        <w:rFonts w:ascii="System Font Regular" w:hAnsi="System Font Regular" w:hint="default"/>
      </w:rPr>
    </w:lvl>
    <w:lvl w:ilvl="7" w:tplc="339EBEF6" w:tentative="1">
      <w:start w:val="1"/>
      <w:numFmt w:val="bullet"/>
      <w:lvlText w:val="–"/>
      <w:lvlJc w:val="left"/>
      <w:pPr>
        <w:tabs>
          <w:tab w:val="num" w:pos="5760"/>
        </w:tabs>
        <w:ind w:left="5760" w:hanging="360"/>
      </w:pPr>
      <w:rPr>
        <w:rFonts w:ascii="System Font Regular" w:hAnsi="System Font Regular" w:hint="default"/>
      </w:rPr>
    </w:lvl>
    <w:lvl w:ilvl="8" w:tplc="7B0CDC38" w:tentative="1">
      <w:start w:val="1"/>
      <w:numFmt w:val="bullet"/>
      <w:lvlText w:val="–"/>
      <w:lvlJc w:val="left"/>
      <w:pPr>
        <w:tabs>
          <w:tab w:val="num" w:pos="6480"/>
        </w:tabs>
        <w:ind w:left="6480" w:hanging="360"/>
      </w:pPr>
      <w:rPr>
        <w:rFonts w:ascii="System Font Regular" w:hAnsi="System Font Regular" w:hint="default"/>
      </w:rPr>
    </w:lvl>
  </w:abstractNum>
  <w:abstractNum w:abstractNumId="14" w15:restartNumberingAfterBreak="0">
    <w:nsid w:val="36EE7997"/>
    <w:multiLevelType w:val="multilevel"/>
    <w:tmpl w:val="F50ED946"/>
    <w:styleLink w:val="Bullets"/>
    <w:lvl w:ilvl="0">
      <w:start w:val="1"/>
      <w:numFmt w:val="bullet"/>
      <w:lvlText w:val=""/>
      <w:lvlJc w:val="left"/>
      <w:pPr>
        <w:ind w:left="215" w:hanging="215"/>
      </w:pPr>
      <w:rPr>
        <w:rFonts w:ascii="Symbol" w:hAnsi="Symbol" w:hint="default"/>
        <w:sz w:val="20"/>
      </w:rPr>
    </w:lvl>
    <w:lvl w:ilvl="1">
      <w:start w:val="1"/>
      <w:numFmt w:val="bullet"/>
      <w:lvlText w:val="—"/>
      <w:lvlJc w:val="left"/>
      <w:pPr>
        <w:ind w:left="936" w:hanging="216"/>
      </w:pPr>
      <w:rPr>
        <w:rFonts w:ascii="Arial" w:hAnsi="Arial" w:hint="default"/>
        <w:color w:val="auto"/>
      </w:rPr>
    </w:lvl>
    <w:lvl w:ilvl="2">
      <w:start w:val="1"/>
      <w:numFmt w:val="lowerLetter"/>
      <w:lvlText w:val="%3"/>
      <w:lvlJc w:val="left"/>
      <w:pPr>
        <w:tabs>
          <w:tab w:val="num" w:pos="2574"/>
        </w:tabs>
        <w:ind w:left="1655" w:hanging="215"/>
      </w:pPr>
      <w:rPr>
        <w:rFonts w:ascii="Arial" w:hAnsi="Arial" w:hint="default"/>
        <w:color w:val="auto"/>
      </w:rPr>
    </w:lvl>
    <w:lvl w:ilvl="3">
      <w:start w:val="1"/>
      <w:numFmt w:val="bullet"/>
      <w:lvlText w:val=""/>
      <w:lvlJc w:val="left"/>
      <w:pPr>
        <w:ind w:left="2376" w:hanging="216"/>
      </w:pPr>
      <w:rPr>
        <w:rFonts w:ascii="Symbol" w:hAnsi="Symbol" w:hint="default"/>
      </w:rPr>
    </w:lvl>
    <w:lvl w:ilvl="4">
      <w:start w:val="1"/>
      <w:numFmt w:val="bullet"/>
      <w:lvlText w:val="–"/>
      <w:lvlJc w:val="left"/>
      <w:pPr>
        <w:ind w:left="2517" w:hanging="215"/>
      </w:pPr>
      <w:rPr>
        <w:rFonts w:ascii="Arial" w:hAnsi="Arial" w:hint="default"/>
        <w:color w:val="auto"/>
      </w:rPr>
    </w:lvl>
    <w:lvl w:ilvl="5">
      <w:start w:val="1"/>
      <w:numFmt w:val="bullet"/>
      <w:lvlText w:val="–"/>
      <w:lvlJc w:val="left"/>
      <w:pPr>
        <w:ind w:left="2738" w:hanging="221"/>
      </w:pPr>
      <w:rPr>
        <w:rFonts w:ascii="Arial" w:hAnsi="Arial" w:hint="default"/>
        <w:color w:val="auto"/>
      </w:rPr>
    </w:lvl>
    <w:lvl w:ilvl="6">
      <w:start w:val="1"/>
      <w:numFmt w:val="bullet"/>
      <w:lvlText w:val="–"/>
      <w:lvlJc w:val="left"/>
      <w:pPr>
        <w:ind w:left="2954" w:hanging="216"/>
      </w:pPr>
      <w:rPr>
        <w:rFonts w:ascii="Arial" w:hAnsi="Arial" w:hint="default"/>
        <w:color w:val="auto"/>
      </w:rPr>
    </w:lvl>
    <w:lvl w:ilvl="7">
      <w:start w:val="1"/>
      <w:numFmt w:val="bullet"/>
      <w:lvlText w:val="–"/>
      <w:lvlJc w:val="left"/>
      <w:pPr>
        <w:ind w:left="3169" w:hanging="215"/>
      </w:pPr>
      <w:rPr>
        <w:rFonts w:ascii="Arial" w:hAnsi="Arial" w:hint="default"/>
        <w:color w:val="auto"/>
      </w:rPr>
    </w:lvl>
    <w:lvl w:ilvl="8">
      <w:start w:val="1"/>
      <w:numFmt w:val="bullet"/>
      <w:lvlText w:val="–"/>
      <w:lvlJc w:val="left"/>
      <w:pPr>
        <w:ind w:left="3385" w:hanging="216"/>
      </w:pPr>
      <w:rPr>
        <w:rFonts w:ascii="Arial" w:hAnsi="Arial" w:hint="default"/>
        <w:color w:val="auto"/>
      </w:rPr>
    </w:lvl>
  </w:abstractNum>
  <w:abstractNum w:abstractNumId="15" w15:restartNumberingAfterBreak="0">
    <w:nsid w:val="3A1F049E"/>
    <w:multiLevelType w:val="hybridMultilevel"/>
    <w:tmpl w:val="B28C3E18"/>
    <w:lvl w:ilvl="0" w:tplc="86A4CB1A">
      <w:start w:val="1"/>
      <w:numFmt w:val="decimal"/>
      <w:pStyle w:val="NumberedList"/>
      <w:lvlText w:val="%1."/>
      <w:lvlJc w:val="left"/>
      <w:pPr>
        <w:ind w:left="360" w:hanging="360"/>
      </w:pPr>
    </w:lvl>
    <w:lvl w:ilvl="1" w:tplc="17EAB64C">
      <w:start w:val="1"/>
      <w:numFmt w:val="lowerLetter"/>
      <w:pStyle w:val="NumberedListSecondLevel"/>
      <w:lvlText w:val="%2."/>
      <w:lvlJc w:val="left"/>
      <w:pPr>
        <w:ind w:left="1080" w:hanging="360"/>
      </w:pPr>
    </w:lvl>
    <w:lvl w:ilvl="2" w:tplc="E6AE5A10">
      <w:start w:val="1"/>
      <w:numFmt w:val="lowerRoman"/>
      <w:pStyle w:val="NumberedListThirdLevel"/>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E61DC"/>
    <w:multiLevelType w:val="hybridMultilevel"/>
    <w:tmpl w:val="E14A7704"/>
    <w:lvl w:ilvl="0" w:tplc="3F202338">
      <w:start w:val="1"/>
      <w:numFmt w:val="bullet"/>
      <w:lvlText w:val="–"/>
      <w:lvlJc w:val="left"/>
      <w:pPr>
        <w:tabs>
          <w:tab w:val="num" w:pos="720"/>
        </w:tabs>
        <w:ind w:left="720" w:hanging="360"/>
      </w:pPr>
      <w:rPr>
        <w:rFonts w:ascii="System Font Regular" w:hAnsi="System Font Regular" w:hint="default"/>
      </w:rPr>
    </w:lvl>
    <w:lvl w:ilvl="1" w:tplc="769EF484">
      <w:start w:val="1"/>
      <w:numFmt w:val="bullet"/>
      <w:lvlText w:val="–"/>
      <w:lvlJc w:val="left"/>
      <w:pPr>
        <w:tabs>
          <w:tab w:val="num" w:pos="1440"/>
        </w:tabs>
        <w:ind w:left="1440" w:hanging="360"/>
      </w:pPr>
      <w:rPr>
        <w:rFonts w:ascii="System Font Regular" w:hAnsi="System Font Regular" w:hint="default"/>
      </w:rPr>
    </w:lvl>
    <w:lvl w:ilvl="2" w:tplc="0FB850C6" w:tentative="1">
      <w:start w:val="1"/>
      <w:numFmt w:val="bullet"/>
      <w:lvlText w:val="–"/>
      <w:lvlJc w:val="left"/>
      <w:pPr>
        <w:tabs>
          <w:tab w:val="num" w:pos="2160"/>
        </w:tabs>
        <w:ind w:left="2160" w:hanging="360"/>
      </w:pPr>
      <w:rPr>
        <w:rFonts w:ascii="System Font Regular" w:hAnsi="System Font Regular" w:hint="default"/>
      </w:rPr>
    </w:lvl>
    <w:lvl w:ilvl="3" w:tplc="0CC0A532" w:tentative="1">
      <w:start w:val="1"/>
      <w:numFmt w:val="bullet"/>
      <w:lvlText w:val="–"/>
      <w:lvlJc w:val="left"/>
      <w:pPr>
        <w:tabs>
          <w:tab w:val="num" w:pos="2880"/>
        </w:tabs>
        <w:ind w:left="2880" w:hanging="360"/>
      </w:pPr>
      <w:rPr>
        <w:rFonts w:ascii="System Font Regular" w:hAnsi="System Font Regular" w:hint="default"/>
      </w:rPr>
    </w:lvl>
    <w:lvl w:ilvl="4" w:tplc="F92E0C34" w:tentative="1">
      <w:start w:val="1"/>
      <w:numFmt w:val="bullet"/>
      <w:lvlText w:val="–"/>
      <w:lvlJc w:val="left"/>
      <w:pPr>
        <w:tabs>
          <w:tab w:val="num" w:pos="3600"/>
        </w:tabs>
        <w:ind w:left="3600" w:hanging="360"/>
      </w:pPr>
      <w:rPr>
        <w:rFonts w:ascii="System Font Regular" w:hAnsi="System Font Regular" w:hint="default"/>
      </w:rPr>
    </w:lvl>
    <w:lvl w:ilvl="5" w:tplc="985C82B8" w:tentative="1">
      <w:start w:val="1"/>
      <w:numFmt w:val="bullet"/>
      <w:lvlText w:val="–"/>
      <w:lvlJc w:val="left"/>
      <w:pPr>
        <w:tabs>
          <w:tab w:val="num" w:pos="4320"/>
        </w:tabs>
        <w:ind w:left="4320" w:hanging="360"/>
      </w:pPr>
      <w:rPr>
        <w:rFonts w:ascii="System Font Regular" w:hAnsi="System Font Regular" w:hint="default"/>
      </w:rPr>
    </w:lvl>
    <w:lvl w:ilvl="6" w:tplc="2FA8C4EC" w:tentative="1">
      <w:start w:val="1"/>
      <w:numFmt w:val="bullet"/>
      <w:lvlText w:val="–"/>
      <w:lvlJc w:val="left"/>
      <w:pPr>
        <w:tabs>
          <w:tab w:val="num" w:pos="5040"/>
        </w:tabs>
        <w:ind w:left="5040" w:hanging="360"/>
      </w:pPr>
      <w:rPr>
        <w:rFonts w:ascii="System Font Regular" w:hAnsi="System Font Regular" w:hint="default"/>
      </w:rPr>
    </w:lvl>
    <w:lvl w:ilvl="7" w:tplc="255EF48E" w:tentative="1">
      <w:start w:val="1"/>
      <w:numFmt w:val="bullet"/>
      <w:lvlText w:val="–"/>
      <w:lvlJc w:val="left"/>
      <w:pPr>
        <w:tabs>
          <w:tab w:val="num" w:pos="5760"/>
        </w:tabs>
        <w:ind w:left="5760" w:hanging="360"/>
      </w:pPr>
      <w:rPr>
        <w:rFonts w:ascii="System Font Regular" w:hAnsi="System Font Regular" w:hint="default"/>
      </w:rPr>
    </w:lvl>
    <w:lvl w:ilvl="8" w:tplc="A826345A" w:tentative="1">
      <w:start w:val="1"/>
      <w:numFmt w:val="bullet"/>
      <w:lvlText w:val="–"/>
      <w:lvlJc w:val="left"/>
      <w:pPr>
        <w:tabs>
          <w:tab w:val="num" w:pos="6480"/>
        </w:tabs>
        <w:ind w:left="6480" w:hanging="360"/>
      </w:pPr>
      <w:rPr>
        <w:rFonts w:ascii="System Font Regular" w:hAnsi="System Font Regular" w:hint="default"/>
      </w:rPr>
    </w:lvl>
  </w:abstractNum>
  <w:abstractNum w:abstractNumId="17" w15:restartNumberingAfterBreak="0">
    <w:nsid w:val="4D9A40DB"/>
    <w:multiLevelType w:val="multilevel"/>
    <w:tmpl w:val="7C1E0544"/>
    <w:styleLink w:val="StyleOutlinenumberedSymbolsymbolLeft0Hanging0153"/>
    <w:lvl w:ilvl="0">
      <w:start w:val="1"/>
      <w:numFmt w:val="bullet"/>
      <w:lvlText w:val=""/>
      <w:lvlJc w:val="left"/>
      <w:pPr>
        <w:ind w:left="215" w:hanging="215"/>
      </w:pPr>
      <w:rPr>
        <w:rFonts w:ascii="Symbol" w:hAnsi="Symbol"/>
      </w:rPr>
    </w:lvl>
    <w:lvl w:ilvl="1">
      <w:start w:val="1"/>
      <w:numFmt w:val="bullet"/>
      <w:lvlText w:val="—"/>
      <w:lvlJc w:val="left"/>
      <w:pPr>
        <w:ind w:left="431" w:hanging="216"/>
      </w:pPr>
      <w:rPr>
        <w:rFonts w:ascii="Arial" w:hAnsi="Arial" w:hint="default"/>
        <w:color w:val="auto"/>
      </w:rPr>
    </w:lvl>
    <w:lvl w:ilvl="2">
      <w:start w:val="1"/>
      <w:numFmt w:val="bullet"/>
      <w:lvlText w:val=""/>
      <w:lvlJc w:val="left"/>
      <w:pPr>
        <w:tabs>
          <w:tab w:val="num" w:pos="1134"/>
        </w:tabs>
        <w:ind w:left="646" w:hanging="215"/>
      </w:pPr>
      <w:rPr>
        <w:rFonts w:ascii="Symbol" w:hAnsi="Symbol" w:hint="default"/>
        <w:color w:val="auto"/>
      </w:rPr>
    </w:lvl>
    <w:lvl w:ilvl="3">
      <w:start w:val="1"/>
      <w:numFmt w:val="bullet"/>
      <w:lvlText w:val=""/>
      <w:lvlJc w:val="left"/>
      <w:pPr>
        <w:ind w:left="862" w:hanging="216"/>
      </w:pPr>
      <w:rPr>
        <w:rFonts w:ascii="Symbol" w:hAnsi="Symbol" w:hint="default"/>
      </w:rPr>
    </w:lvl>
    <w:lvl w:ilvl="4">
      <w:start w:val="1"/>
      <w:numFmt w:val="bullet"/>
      <w:lvlText w:val="–"/>
      <w:lvlJc w:val="left"/>
      <w:pPr>
        <w:ind w:left="1077" w:hanging="215"/>
      </w:pPr>
      <w:rPr>
        <w:rFonts w:ascii="Arial" w:hAnsi="Arial" w:hint="default"/>
        <w:color w:val="auto"/>
      </w:rPr>
    </w:lvl>
    <w:lvl w:ilvl="5">
      <w:start w:val="1"/>
      <w:numFmt w:val="bullet"/>
      <w:lvlText w:val="–"/>
      <w:lvlJc w:val="left"/>
      <w:pPr>
        <w:ind w:left="1298" w:hanging="221"/>
      </w:pPr>
      <w:rPr>
        <w:rFonts w:ascii="Arial" w:hAnsi="Arial" w:hint="default"/>
        <w:color w:val="auto"/>
      </w:rPr>
    </w:lvl>
    <w:lvl w:ilvl="6">
      <w:start w:val="1"/>
      <w:numFmt w:val="bullet"/>
      <w:lvlText w:val="–"/>
      <w:lvlJc w:val="left"/>
      <w:pPr>
        <w:ind w:left="1514" w:hanging="216"/>
      </w:pPr>
      <w:rPr>
        <w:rFonts w:ascii="Arial" w:hAnsi="Arial" w:hint="default"/>
        <w:color w:val="auto"/>
      </w:rPr>
    </w:lvl>
    <w:lvl w:ilvl="7">
      <w:start w:val="1"/>
      <w:numFmt w:val="bullet"/>
      <w:lvlText w:val="–"/>
      <w:lvlJc w:val="left"/>
      <w:pPr>
        <w:ind w:left="1729" w:hanging="215"/>
      </w:pPr>
      <w:rPr>
        <w:rFonts w:ascii="Arial" w:hAnsi="Arial" w:hint="default"/>
        <w:color w:val="auto"/>
      </w:rPr>
    </w:lvl>
    <w:lvl w:ilvl="8">
      <w:start w:val="1"/>
      <w:numFmt w:val="bullet"/>
      <w:lvlText w:val="–"/>
      <w:lvlJc w:val="left"/>
      <w:pPr>
        <w:ind w:left="1945" w:hanging="216"/>
      </w:pPr>
      <w:rPr>
        <w:rFonts w:ascii="Arial" w:hAnsi="Arial" w:hint="default"/>
        <w:color w:val="auto"/>
      </w:rPr>
    </w:lvl>
  </w:abstractNum>
  <w:abstractNum w:abstractNumId="18" w15:restartNumberingAfterBreak="0">
    <w:nsid w:val="51684E5D"/>
    <w:multiLevelType w:val="multilevel"/>
    <w:tmpl w:val="DD802266"/>
    <w:styleLink w:val="BulletList"/>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Arial" w:hAnsi="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F45720"/>
    <w:multiLevelType w:val="multilevel"/>
    <w:tmpl w:val="5D8A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552A66"/>
    <w:multiLevelType w:val="hybridMultilevel"/>
    <w:tmpl w:val="ADFAFBE0"/>
    <w:lvl w:ilvl="0" w:tplc="67F0D088">
      <w:start w:val="1"/>
      <w:numFmt w:val="bullet"/>
      <w:lvlText w:val="•"/>
      <w:lvlJc w:val="left"/>
      <w:pPr>
        <w:tabs>
          <w:tab w:val="num" w:pos="720"/>
        </w:tabs>
        <w:ind w:left="720" w:hanging="360"/>
      </w:pPr>
      <w:rPr>
        <w:rFonts w:ascii="Arial" w:hAnsi="Arial" w:hint="default"/>
      </w:rPr>
    </w:lvl>
    <w:lvl w:ilvl="1" w:tplc="7B54B7FC" w:tentative="1">
      <w:start w:val="1"/>
      <w:numFmt w:val="bullet"/>
      <w:lvlText w:val="•"/>
      <w:lvlJc w:val="left"/>
      <w:pPr>
        <w:tabs>
          <w:tab w:val="num" w:pos="1440"/>
        </w:tabs>
        <w:ind w:left="1440" w:hanging="360"/>
      </w:pPr>
      <w:rPr>
        <w:rFonts w:ascii="Arial" w:hAnsi="Arial" w:hint="default"/>
      </w:rPr>
    </w:lvl>
    <w:lvl w:ilvl="2" w:tplc="CEDEA2A4" w:tentative="1">
      <w:start w:val="1"/>
      <w:numFmt w:val="bullet"/>
      <w:lvlText w:val="•"/>
      <w:lvlJc w:val="left"/>
      <w:pPr>
        <w:tabs>
          <w:tab w:val="num" w:pos="2160"/>
        </w:tabs>
        <w:ind w:left="2160" w:hanging="360"/>
      </w:pPr>
      <w:rPr>
        <w:rFonts w:ascii="Arial" w:hAnsi="Arial" w:hint="default"/>
      </w:rPr>
    </w:lvl>
    <w:lvl w:ilvl="3" w:tplc="E504613A" w:tentative="1">
      <w:start w:val="1"/>
      <w:numFmt w:val="bullet"/>
      <w:lvlText w:val="•"/>
      <w:lvlJc w:val="left"/>
      <w:pPr>
        <w:tabs>
          <w:tab w:val="num" w:pos="2880"/>
        </w:tabs>
        <w:ind w:left="2880" w:hanging="360"/>
      </w:pPr>
      <w:rPr>
        <w:rFonts w:ascii="Arial" w:hAnsi="Arial" w:hint="default"/>
      </w:rPr>
    </w:lvl>
    <w:lvl w:ilvl="4" w:tplc="4F76DECA" w:tentative="1">
      <w:start w:val="1"/>
      <w:numFmt w:val="bullet"/>
      <w:lvlText w:val="•"/>
      <w:lvlJc w:val="left"/>
      <w:pPr>
        <w:tabs>
          <w:tab w:val="num" w:pos="3600"/>
        </w:tabs>
        <w:ind w:left="3600" w:hanging="360"/>
      </w:pPr>
      <w:rPr>
        <w:rFonts w:ascii="Arial" w:hAnsi="Arial" w:hint="default"/>
      </w:rPr>
    </w:lvl>
    <w:lvl w:ilvl="5" w:tplc="96D4AEDC" w:tentative="1">
      <w:start w:val="1"/>
      <w:numFmt w:val="bullet"/>
      <w:lvlText w:val="•"/>
      <w:lvlJc w:val="left"/>
      <w:pPr>
        <w:tabs>
          <w:tab w:val="num" w:pos="4320"/>
        </w:tabs>
        <w:ind w:left="4320" w:hanging="360"/>
      </w:pPr>
      <w:rPr>
        <w:rFonts w:ascii="Arial" w:hAnsi="Arial" w:hint="default"/>
      </w:rPr>
    </w:lvl>
    <w:lvl w:ilvl="6" w:tplc="AD3EC0B8" w:tentative="1">
      <w:start w:val="1"/>
      <w:numFmt w:val="bullet"/>
      <w:lvlText w:val="•"/>
      <w:lvlJc w:val="left"/>
      <w:pPr>
        <w:tabs>
          <w:tab w:val="num" w:pos="5040"/>
        </w:tabs>
        <w:ind w:left="5040" w:hanging="360"/>
      </w:pPr>
      <w:rPr>
        <w:rFonts w:ascii="Arial" w:hAnsi="Arial" w:hint="default"/>
      </w:rPr>
    </w:lvl>
    <w:lvl w:ilvl="7" w:tplc="F39E88C8" w:tentative="1">
      <w:start w:val="1"/>
      <w:numFmt w:val="bullet"/>
      <w:lvlText w:val="•"/>
      <w:lvlJc w:val="left"/>
      <w:pPr>
        <w:tabs>
          <w:tab w:val="num" w:pos="5760"/>
        </w:tabs>
        <w:ind w:left="5760" w:hanging="360"/>
      </w:pPr>
      <w:rPr>
        <w:rFonts w:ascii="Arial" w:hAnsi="Arial" w:hint="default"/>
      </w:rPr>
    </w:lvl>
    <w:lvl w:ilvl="8" w:tplc="C6D8E02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3BC117C"/>
    <w:multiLevelType w:val="hybridMultilevel"/>
    <w:tmpl w:val="E3CA46D0"/>
    <w:lvl w:ilvl="0" w:tplc="1414873A">
      <w:start w:val="1"/>
      <w:numFmt w:val="bullet"/>
      <w:lvlText w:val="–"/>
      <w:lvlJc w:val="left"/>
      <w:pPr>
        <w:tabs>
          <w:tab w:val="num" w:pos="720"/>
        </w:tabs>
        <w:ind w:left="720" w:hanging="360"/>
      </w:pPr>
      <w:rPr>
        <w:rFonts w:ascii="System Font Regular" w:hAnsi="System Font Regular" w:hint="default"/>
      </w:rPr>
    </w:lvl>
    <w:lvl w:ilvl="1" w:tplc="2C7AC7F0">
      <w:start w:val="1"/>
      <w:numFmt w:val="bullet"/>
      <w:lvlText w:val="–"/>
      <w:lvlJc w:val="left"/>
      <w:pPr>
        <w:tabs>
          <w:tab w:val="num" w:pos="1440"/>
        </w:tabs>
        <w:ind w:left="1440" w:hanging="360"/>
      </w:pPr>
      <w:rPr>
        <w:rFonts w:ascii="System Font Regular" w:hAnsi="System Font Regular" w:hint="default"/>
      </w:rPr>
    </w:lvl>
    <w:lvl w:ilvl="2" w:tplc="EC96BCD8" w:tentative="1">
      <w:start w:val="1"/>
      <w:numFmt w:val="bullet"/>
      <w:lvlText w:val="–"/>
      <w:lvlJc w:val="left"/>
      <w:pPr>
        <w:tabs>
          <w:tab w:val="num" w:pos="2160"/>
        </w:tabs>
        <w:ind w:left="2160" w:hanging="360"/>
      </w:pPr>
      <w:rPr>
        <w:rFonts w:ascii="System Font Regular" w:hAnsi="System Font Regular" w:hint="default"/>
      </w:rPr>
    </w:lvl>
    <w:lvl w:ilvl="3" w:tplc="38207430" w:tentative="1">
      <w:start w:val="1"/>
      <w:numFmt w:val="bullet"/>
      <w:lvlText w:val="–"/>
      <w:lvlJc w:val="left"/>
      <w:pPr>
        <w:tabs>
          <w:tab w:val="num" w:pos="2880"/>
        </w:tabs>
        <w:ind w:left="2880" w:hanging="360"/>
      </w:pPr>
      <w:rPr>
        <w:rFonts w:ascii="System Font Regular" w:hAnsi="System Font Regular" w:hint="default"/>
      </w:rPr>
    </w:lvl>
    <w:lvl w:ilvl="4" w:tplc="C7FED8DA" w:tentative="1">
      <w:start w:val="1"/>
      <w:numFmt w:val="bullet"/>
      <w:lvlText w:val="–"/>
      <w:lvlJc w:val="left"/>
      <w:pPr>
        <w:tabs>
          <w:tab w:val="num" w:pos="3600"/>
        </w:tabs>
        <w:ind w:left="3600" w:hanging="360"/>
      </w:pPr>
      <w:rPr>
        <w:rFonts w:ascii="System Font Regular" w:hAnsi="System Font Regular" w:hint="default"/>
      </w:rPr>
    </w:lvl>
    <w:lvl w:ilvl="5" w:tplc="A64071B2" w:tentative="1">
      <w:start w:val="1"/>
      <w:numFmt w:val="bullet"/>
      <w:lvlText w:val="–"/>
      <w:lvlJc w:val="left"/>
      <w:pPr>
        <w:tabs>
          <w:tab w:val="num" w:pos="4320"/>
        </w:tabs>
        <w:ind w:left="4320" w:hanging="360"/>
      </w:pPr>
      <w:rPr>
        <w:rFonts w:ascii="System Font Regular" w:hAnsi="System Font Regular" w:hint="default"/>
      </w:rPr>
    </w:lvl>
    <w:lvl w:ilvl="6" w:tplc="4572A816" w:tentative="1">
      <w:start w:val="1"/>
      <w:numFmt w:val="bullet"/>
      <w:lvlText w:val="–"/>
      <w:lvlJc w:val="left"/>
      <w:pPr>
        <w:tabs>
          <w:tab w:val="num" w:pos="5040"/>
        </w:tabs>
        <w:ind w:left="5040" w:hanging="360"/>
      </w:pPr>
      <w:rPr>
        <w:rFonts w:ascii="System Font Regular" w:hAnsi="System Font Regular" w:hint="default"/>
      </w:rPr>
    </w:lvl>
    <w:lvl w:ilvl="7" w:tplc="00CA863A" w:tentative="1">
      <w:start w:val="1"/>
      <w:numFmt w:val="bullet"/>
      <w:lvlText w:val="–"/>
      <w:lvlJc w:val="left"/>
      <w:pPr>
        <w:tabs>
          <w:tab w:val="num" w:pos="5760"/>
        </w:tabs>
        <w:ind w:left="5760" w:hanging="360"/>
      </w:pPr>
      <w:rPr>
        <w:rFonts w:ascii="System Font Regular" w:hAnsi="System Font Regular" w:hint="default"/>
      </w:rPr>
    </w:lvl>
    <w:lvl w:ilvl="8" w:tplc="CAD04334" w:tentative="1">
      <w:start w:val="1"/>
      <w:numFmt w:val="bullet"/>
      <w:lvlText w:val="–"/>
      <w:lvlJc w:val="left"/>
      <w:pPr>
        <w:tabs>
          <w:tab w:val="num" w:pos="6480"/>
        </w:tabs>
        <w:ind w:left="6480" w:hanging="360"/>
      </w:pPr>
      <w:rPr>
        <w:rFonts w:ascii="System Font Regular" w:hAnsi="System Font Regular" w:hint="default"/>
      </w:rPr>
    </w:lvl>
  </w:abstractNum>
  <w:abstractNum w:abstractNumId="22" w15:restartNumberingAfterBreak="0">
    <w:nsid w:val="54F20DBF"/>
    <w:multiLevelType w:val="multilevel"/>
    <w:tmpl w:val="CD942F2E"/>
    <w:lvl w:ilvl="0">
      <w:start w:val="1"/>
      <w:numFmt w:val="decimal"/>
      <w:lvlText w:val="%1."/>
      <w:lvlJc w:val="left"/>
      <w:pPr>
        <w:ind w:left="215" w:hanging="215"/>
      </w:pPr>
      <w:rPr>
        <w:rFonts w:hint="default"/>
      </w:rPr>
    </w:lvl>
    <w:lvl w:ilvl="1">
      <w:start w:val="1"/>
      <w:numFmt w:val="lowerLetter"/>
      <w:pStyle w:val="LetteredList"/>
      <w:lvlText w:val="%2."/>
      <w:lvlJc w:val="left"/>
      <w:pPr>
        <w:ind w:left="431" w:hanging="216"/>
      </w:pPr>
      <w:rPr>
        <w:rFonts w:hint="default"/>
        <w:color w:val="auto"/>
      </w:rPr>
    </w:lvl>
    <w:lvl w:ilvl="2">
      <w:start w:val="1"/>
      <w:numFmt w:val="bullet"/>
      <w:lvlText w:val="–"/>
      <w:lvlJc w:val="left"/>
      <w:pPr>
        <w:tabs>
          <w:tab w:val="num" w:pos="1134"/>
        </w:tabs>
        <w:ind w:left="646" w:hanging="215"/>
      </w:pPr>
      <w:rPr>
        <w:rFonts w:ascii="Arial" w:hAnsi="Arial" w:hint="default"/>
        <w:color w:val="auto"/>
      </w:rPr>
    </w:lvl>
    <w:lvl w:ilvl="3">
      <w:start w:val="1"/>
      <w:numFmt w:val="bullet"/>
      <w:lvlText w:val="–"/>
      <w:lvlJc w:val="left"/>
      <w:pPr>
        <w:ind w:left="862" w:hanging="216"/>
      </w:pPr>
      <w:rPr>
        <w:rFonts w:ascii="Arial" w:hAnsi="Arial" w:hint="default"/>
        <w:color w:val="auto"/>
      </w:rPr>
    </w:lvl>
    <w:lvl w:ilvl="4">
      <w:start w:val="1"/>
      <w:numFmt w:val="bullet"/>
      <w:lvlText w:val="–"/>
      <w:lvlJc w:val="left"/>
      <w:pPr>
        <w:ind w:left="1077" w:hanging="215"/>
      </w:pPr>
      <w:rPr>
        <w:rFonts w:ascii="Arial" w:hAnsi="Arial" w:hint="default"/>
        <w:color w:val="auto"/>
      </w:rPr>
    </w:lvl>
    <w:lvl w:ilvl="5">
      <w:start w:val="1"/>
      <w:numFmt w:val="bullet"/>
      <w:lvlText w:val="–"/>
      <w:lvlJc w:val="left"/>
      <w:pPr>
        <w:ind w:left="1298" w:hanging="221"/>
      </w:pPr>
      <w:rPr>
        <w:rFonts w:ascii="Arial" w:hAnsi="Arial" w:hint="default"/>
        <w:color w:val="auto"/>
      </w:rPr>
    </w:lvl>
    <w:lvl w:ilvl="6">
      <w:start w:val="1"/>
      <w:numFmt w:val="bullet"/>
      <w:lvlText w:val="–"/>
      <w:lvlJc w:val="left"/>
      <w:pPr>
        <w:ind w:left="1514" w:hanging="216"/>
      </w:pPr>
      <w:rPr>
        <w:rFonts w:ascii="Arial" w:hAnsi="Arial" w:hint="default"/>
        <w:color w:val="auto"/>
      </w:rPr>
    </w:lvl>
    <w:lvl w:ilvl="7">
      <w:start w:val="1"/>
      <w:numFmt w:val="bullet"/>
      <w:lvlText w:val="–"/>
      <w:lvlJc w:val="left"/>
      <w:pPr>
        <w:ind w:left="1729" w:hanging="215"/>
      </w:pPr>
      <w:rPr>
        <w:rFonts w:ascii="Arial" w:hAnsi="Arial" w:hint="default"/>
        <w:color w:val="auto"/>
      </w:rPr>
    </w:lvl>
    <w:lvl w:ilvl="8">
      <w:start w:val="1"/>
      <w:numFmt w:val="bullet"/>
      <w:lvlText w:val="–"/>
      <w:lvlJc w:val="left"/>
      <w:pPr>
        <w:ind w:left="1945" w:hanging="216"/>
      </w:pPr>
      <w:rPr>
        <w:rFonts w:ascii="Arial" w:hAnsi="Arial" w:hint="default"/>
        <w:color w:val="auto"/>
      </w:rPr>
    </w:lvl>
  </w:abstractNum>
  <w:abstractNum w:abstractNumId="23" w15:restartNumberingAfterBreak="0">
    <w:nsid w:val="55444ED2"/>
    <w:multiLevelType w:val="multilevel"/>
    <w:tmpl w:val="B006766E"/>
    <w:styleLink w:val="StyleOutlinenumberedSymbolsymbolLeft0Hanging0151"/>
    <w:lvl w:ilvl="0">
      <w:start w:val="1"/>
      <w:numFmt w:val="bullet"/>
      <w:lvlText w:val=""/>
      <w:lvlJc w:val="left"/>
      <w:pPr>
        <w:ind w:left="215" w:hanging="215"/>
      </w:pPr>
      <w:rPr>
        <w:rFonts w:ascii="Symbol" w:hAnsi="Symbol" w:hint="default"/>
      </w:rPr>
    </w:lvl>
    <w:lvl w:ilvl="1">
      <w:start w:val="1"/>
      <w:numFmt w:val="bullet"/>
      <w:lvlText w:val="—"/>
      <w:lvlJc w:val="left"/>
      <w:pPr>
        <w:ind w:left="936" w:hanging="216"/>
      </w:pPr>
      <w:rPr>
        <w:rFonts w:ascii="Arial" w:hAnsi="Arial" w:hint="default"/>
        <w:color w:val="auto"/>
      </w:rPr>
    </w:lvl>
    <w:lvl w:ilvl="2">
      <w:start w:val="1"/>
      <w:numFmt w:val="lowerLetter"/>
      <w:lvlText w:val="%3"/>
      <w:lvlJc w:val="left"/>
      <w:pPr>
        <w:tabs>
          <w:tab w:val="num" w:pos="1565"/>
        </w:tabs>
        <w:ind w:left="1655" w:hanging="215"/>
      </w:pPr>
      <w:rPr>
        <w:rFonts w:ascii="Arial" w:hAnsi="Arial" w:hint="default"/>
        <w:color w:val="auto"/>
      </w:rPr>
    </w:lvl>
    <w:lvl w:ilvl="3">
      <w:start w:val="1"/>
      <w:numFmt w:val="bullet"/>
      <w:lvlText w:val=""/>
      <w:lvlJc w:val="left"/>
      <w:pPr>
        <w:ind w:left="2376" w:hanging="216"/>
      </w:pPr>
      <w:rPr>
        <w:rFonts w:ascii="Symbol" w:hAnsi="Symbol" w:hint="default"/>
      </w:rPr>
    </w:lvl>
    <w:lvl w:ilvl="4">
      <w:start w:val="1"/>
      <w:numFmt w:val="bullet"/>
      <w:lvlText w:val="–"/>
      <w:lvlJc w:val="left"/>
      <w:pPr>
        <w:ind w:left="1508" w:hanging="215"/>
      </w:pPr>
      <w:rPr>
        <w:rFonts w:ascii="Arial" w:hAnsi="Arial" w:hint="default"/>
        <w:color w:val="auto"/>
      </w:rPr>
    </w:lvl>
    <w:lvl w:ilvl="5">
      <w:start w:val="1"/>
      <w:numFmt w:val="bullet"/>
      <w:lvlText w:val="–"/>
      <w:lvlJc w:val="left"/>
      <w:pPr>
        <w:ind w:left="1729" w:hanging="221"/>
      </w:pPr>
      <w:rPr>
        <w:rFonts w:ascii="Arial" w:hAnsi="Arial" w:hint="default"/>
        <w:color w:val="auto"/>
      </w:rPr>
    </w:lvl>
    <w:lvl w:ilvl="6">
      <w:start w:val="1"/>
      <w:numFmt w:val="bullet"/>
      <w:lvlText w:val="–"/>
      <w:lvlJc w:val="left"/>
      <w:pPr>
        <w:ind w:left="1945" w:hanging="216"/>
      </w:pPr>
      <w:rPr>
        <w:rFonts w:ascii="Arial" w:hAnsi="Arial" w:hint="default"/>
        <w:color w:val="auto"/>
      </w:rPr>
    </w:lvl>
    <w:lvl w:ilvl="7">
      <w:start w:val="1"/>
      <w:numFmt w:val="bullet"/>
      <w:lvlText w:val="–"/>
      <w:lvlJc w:val="left"/>
      <w:pPr>
        <w:ind w:left="2160" w:hanging="215"/>
      </w:pPr>
      <w:rPr>
        <w:rFonts w:ascii="Arial" w:hAnsi="Arial" w:hint="default"/>
        <w:color w:val="auto"/>
      </w:rPr>
    </w:lvl>
    <w:lvl w:ilvl="8">
      <w:start w:val="1"/>
      <w:numFmt w:val="bullet"/>
      <w:lvlText w:val="–"/>
      <w:lvlJc w:val="left"/>
      <w:pPr>
        <w:ind w:left="2376" w:hanging="216"/>
      </w:pPr>
      <w:rPr>
        <w:rFonts w:ascii="Arial" w:hAnsi="Arial" w:hint="default"/>
        <w:color w:val="auto"/>
      </w:rPr>
    </w:lvl>
  </w:abstractNum>
  <w:abstractNum w:abstractNumId="24" w15:restartNumberingAfterBreak="0">
    <w:nsid w:val="60473F99"/>
    <w:multiLevelType w:val="multilevel"/>
    <w:tmpl w:val="08527B82"/>
    <w:styleLink w:val="StyleOutlinenumberedSymbolsymbolLeft0Hanging015"/>
    <w:lvl w:ilvl="0">
      <w:start w:val="1"/>
      <w:numFmt w:val="bullet"/>
      <w:lvlText w:val=""/>
      <w:lvlJc w:val="left"/>
      <w:pPr>
        <w:ind w:left="215" w:hanging="215"/>
      </w:pPr>
      <w:rPr>
        <w:rFonts w:ascii="Symbol" w:hAnsi="Symbol"/>
      </w:rPr>
    </w:lvl>
    <w:lvl w:ilvl="1">
      <w:start w:val="1"/>
      <w:numFmt w:val="bullet"/>
      <w:lvlText w:val="–"/>
      <w:lvlJc w:val="left"/>
      <w:pPr>
        <w:ind w:left="431" w:hanging="216"/>
      </w:pPr>
      <w:rPr>
        <w:rFonts w:ascii="Arial" w:hAnsi="Arial" w:hint="default"/>
        <w:color w:val="auto"/>
      </w:rPr>
    </w:lvl>
    <w:lvl w:ilvl="2">
      <w:start w:val="1"/>
      <w:numFmt w:val="bullet"/>
      <w:lvlText w:val="–"/>
      <w:lvlJc w:val="left"/>
      <w:pPr>
        <w:tabs>
          <w:tab w:val="num" w:pos="1134"/>
        </w:tabs>
        <w:ind w:left="646" w:hanging="215"/>
      </w:pPr>
      <w:rPr>
        <w:rFonts w:ascii="Arial" w:hAnsi="Arial" w:hint="default"/>
        <w:color w:val="auto"/>
      </w:rPr>
    </w:lvl>
    <w:lvl w:ilvl="3">
      <w:start w:val="1"/>
      <w:numFmt w:val="bullet"/>
      <w:lvlText w:val="–"/>
      <w:lvlJc w:val="left"/>
      <w:pPr>
        <w:ind w:left="862" w:hanging="216"/>
      </w:pPr>
      <w:rPr>
        <w:rFonts w:ascii="Arial" w:hAnsi="Arial" w:hint="default"/>
        <w:color w:val="auto"/>
      </w:rPr>
    </w:lvl>
    <w:lvl w:ilvl="4">
      <w:start w:val="1"/>
      <w:numFmt w:val="bullet"/>
      <w:lvlText w:val="–"/>
      <w:lvlJc w:val="left"/>
      <w:pPr>
        <w:ind w:left="1077" w:hanging="215"/>
      </w:pPr>
      <w:rPr>
        <w:rFonts w:ascii="Arial" w:hAnsi="Arial" w:hint="default"/>
        <w:color w:val="auto"/>
      </w:rPr>
    </w:lvl>
    <w:lvl w:ilvl="5">
      <w:start w:val="1"/>
      <w:numFmt w:val="bullet"/>
      <w:lvlText w:val="–"/>
      <w:lvlJc w:val="left"/>
      <w:pPr>
        <w:ind w:left="1298" w:hanging="221"/>
      </w:pPr>
      <w:rPr>
        <w:rFonts w:ascii="Arial" w:hAnsi="Arial" w:hint="default"/>
        <w:color w:val="auto"/>
      </w:rPr>
    </w:lvl>
    <w:lvl w:ilvl="6">
      <w:start w:val="1"/>
      <w:numFmt w:val="bullet"/>
      <w:lvlText w:val="–"/>
      <w:lvlJc w:val="left"/>
      <w:pPr>
        <w:ind w:left="1514" w:hanging="216"/>
      </w:pPr>
      <w:rPr>
        <w:rFonts w:ascii="Arial" w:hAnsi="Arial" w:hint="default"/>
        <w:color w:val="auto"/>
      </w:rPr>
    </w:lvl>
    <w:lvl w:ilvl="7">
      <w:start w:val="1"/>
      <w:numFmt w:val="bullet"/>
      <w:lvlText w:val="–"/>
      <w:lvlJc w:val="left"/>
      <w:pPr>
        <w:ind w:left="1729" w:hanging="215"/>
      </w:pPr>
      <w:rPr>
        <w:rFonts w:ascii="Arial" w:hAnsi="Arial" w:hint="default"/>
        <w:color w:val="auto"/>
      </w:rPr>
    </w:lvl>
    <w:lvl w:ilvl="8">
      <w:start w:val="1"/>
      <w:numFmt w:val="bullet"/>
      <w:lvlText w:val="–"/>
      <w:lvlJc w:val="left"/>
      <w:pPr>
        <w:ind w:left="1945" w:hanging="216"/>
      </w:pPr>
      <w:rPr>
        <w:rFonts w:ascii="Arial" w:hAnsi="Arial" w:hint="default"/>
        <w:color w:val="auto"/>
      </w:rPr>
    </w:lvl>
  </w:abstractNum>
  <w:abstractNum w:abstractNumId="25" w15:restartNumberingAfterBreak="0">
    <w:nsid w:val="629A71C5"/>
    <w:multiLevelType w:val="hybridMultilevel"/>
    <w:tmpl w:val="C8E44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D72260"/>
    <w:multiLevelType w:val="multilevel"/>
    <w:tmpl w:val="73700768"/>
    <w:lvl w:ilvl="0">
      <w:start w:val="1"/>
      <w:numFmt w:val="bullet"/>
      <w:pStyle w:val="ListParagraph"/>
      <w:lvlText w:val=""/>
      <w:lvlJc w:val="left"/>
      <w:pPr>
        <w:ind w:left="215" w:hanging="215"/>
      </w:pPr>
      <w:rPr>
        <w:rFonts w:ascii="Symbol" w:hAnsi="Symbol"/>
      </w:rPr>
    </w:lvl>
    <w:lvl w:ilvl="1">
      <w:start w:val="1"/>
      <w:numFmt w:val="bullet"/>
      <w:pStyle w:val="ListParagraphSecondLevel"/>
      <w:lvlText w:val="—"/>
      <w:lvlJc w:val="left"/>
      <w:pPr>
        <w:ind w:left="431" w:hanging="216"/>
      </w:pPr>
      <w:rPr>
        <w:rFonts w:ascii="Arial" w:hAnsi="Arial" w:hint="default"/>
        <w:color w:val="auto"/>
      </w:rPr>
    </w:lvl>
    <w:lvl w:ilvl="2">
      <w:start w:val="1"/>
      <w:numFmt w:val="bullet"/>
      <w:lvlText w:val=""/>
      <w:lvlJc w:val="left"/>
      <w:pPr>
        <w:tabs>
          <w:tab w:val="num" w:pos="1134"/>
        </w:tabs>
        <w:ind w:left="646" w:hanging="215"/>
      </w:pPr>
      <w:rPr>
        <w:rFonts w:ascii="Symbol" w:hAnsi="Symbol" w:hint="default"/>
        <w:color w:val="auto"/>
      </w:rPr>
    </w:lvl>
    <w:lvl w:ilvl="3">
      <w:start w:val="1"/>
      <w:numFmt w:val="bullet"/>
      <w:lvlText w:val=""/>
      <w:lvlJc w:val="left"/>
      <w:pPr>
        <w:ind w:left="862" w:hanging="216"/>
      </w:pPr>
      <w:rPr>
        <w:rFonts w:ascii="Symbol" w:hAnsi="Symbol" w:hint="default"/>
      </w:rPr>
    </w:lvl>
    <w:lvl w:ilvl="4">
      <w:start w:val="1"/>
      <w:numFmt w:val="bullet"/>
      <w:lvlText w:val="–"/>
      <w:lvlJc w:val="left"/>
      <w:pPr>
        <w:ind w:left="1077" w:hanging="215"/>
      </w:pPr>
      <w:rPr>
        <w:rFonts w:ascii="Arial" w:hAnsi="Arial" w:hint="default"/>
        <w:color w:val="auto"/>
      </w:rPr>
    </w:lvl>
    <w:lvl w:ilvl="5">
      <w:start w:val="1"/>
      <w:numFmt w:val="bullet"/>
      <w:lvlText w:val="–"/>
      <w:lvlJc w:val="left"/>
      <w:pPr>
        <w:ind w:left="1298" w:hanging="221"/>
      </w:pPr>
      <w:rPr>
        <w:rFonts w:ascii="Arial" w:hAnsi="Arial" w:hint="default"/>
        <w:color w:val="auto"/>
      </w:rPr>
    </w:lvl>
    <w:lvl w:ilvl="6">
      <w:start w:val="1"/>
      <w:numFmt w:val="bullet"/>
      <w:lvlText w:val="–"/>
      <w:lvlJc w:val="left"/>
      <w:pPr>
        <w:ind w:left="1514" w:hanging="216"/>
      </w:pPr>
      <w:rPr>
        <w:rFonts w:ascii="Arial" w:hAnsi="Arial" w:hint="default"/>
        <w:color w:val="auto"/>
      </w:rPr>
    </w:lvl>
    <w:lvl w:ilvl="7">
      <w:start w:val="1"/>
      <w:numFmt w:val="bullet"/>
      <w:lvlText w:val="–"/>
      <w:lvlJc w:val="left"/>
      <w:pPr>
        <w:ind w:left="1729" w:hanging="215"/>
      </w:pPr>
      <w:rPr>
        <w:rFonts w:ascii="Arial" w:hAnsi="Arial" w:hint="default"/>
        <w:color w:val="auto"/>
      </w:rPr>
    </w:lvl>
    <w:lvl w:ilvl="8">
      <w:start w:val="1"/>
      <w:numFmt w:val="bullet"/>
      <w:lvlText w:val="–"/>
      <w:lvlJc w:val="left"/>
      <w:pPr>
        <w:ind w:left="1945" w:hanging="216"/>
      </w:pPr>
      <w:rPr>
        <w:rFonts w:ascii="Arial" w:hAnsi="Arial" w:hint="default"/>
        <w:color w:val="auto"/>
      </w:rPr>
    </w:lvl>
  </w:abstractNum>
  <w:abstractNum w:abstractNumId="27" w15:restartNumberingAfterBreak="0">
    <w:nsid w:val="63951D07"/>
    <w:multiLevelType w:val="hybridMultilevel"/>
    <w:tmpl w:val="80BC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BB2EDE"/>
    <w:multiLevelType w:val="multilevel"/>
    <w:tmpl w:val="52387DE8"/>
    <w:numStyleLink w:val="StyleOutlinenumbered11ptLeft0Hanging025"/>
  </w:abstractNum>
  <w:abstractNum w:abstractNumId="29" w15:restartNumberingAfterBreak="0">
    <w:nsid w:val="785224BB"/>
    <w:multiLevelType w:val="multilevel"/>
    <w:tmpl w:val="52387DE8"/>
    <w:lvl w:ilvl="0">
      <w:start w:val="1"/>
      <w:numFmt w:val="decimal"/>
      <w:lvlText w:val="%1."/>
      <w:lvlJc w:val="left"/>
      <w:pPr>
        <w:ind w:left="360" w:hanging="360"/>
      </w:pPr>
      <w:rPr>
        <w:rFonts w:ascii="Arial" w:hAnsi="Arial" w:hint="default"/>
      </w:rPr>
    </w:lvl>
    <w:lvl w:ilvl="1">
      <w:start w:val="1"/>
      <w:numFmt w:val="lowerLetter"/>
      <w:lvlText w:val="%2."/>
      <w:lvlJc w:val="left"/>
      <w:pPr>
        <w:ind w:left="576" w:hanging="216"/>
      </w:pPr>
      <w:rPr>
        <w:rFonts w:ascii="Arial" w:hAnsi="Arial" w:hint="default"/>
      </w:rPr>
    </w:lvl>
    <w:lvl w:ilvl="2">
      <w:start w:val="1"/>
      <w:numFmt w:val="bullet"/>
      <w:lvlText w:val="•"/>
      <w:lvlJc w:val="left"/>
      <w:pPr>
        <w:ind w:left="792" w:hanging="216"/>
      </w:pPr>
      <w:rPr>
        <w:rFonts w:ascii="Arial" w:hAnsi="Arial" w:hint="default"/>
        <w:color w:val="auto"/>
      </w:rPr>
    </w:lvl>
    <w:lvl w:ilvl="3">
      <w:start w:val="1"/>
      <w:numFmt w:val="bullet"/>
      <w:lvlText w:val="–"/>
      <w:lvlJc w:val="left"/>
      <w:pPr>
        <w:ind w:left="1008" w:hanging="216"/>
      </w:pPr>
      <w:rPr>
        <w:rFonts w:ascii="Arial" w:hAnsi="Arial" w:hint="default"/>
        <w:color w:val="auto"/>
      </w:rPr>
    </w:lvl>
    <w:lvl w:ilvl="4">
      <w:start w:val="1"/>
      <w:numFmt w:val="bullet"/>
      <w:lvlText w:val="–"/>
      <w:lvlJc w:val="left"/>
      <w:pPr>
        <w:ind w:left="1224" w:hanging="216"/>
      </w:pPr>
      <w:rPr>
        <w:rFonts w:ascii="Arial" w:hAnsi="Arial" w:hint="default"/>
        <w:color w:val="auto"/>
      </w:rPr>
    </w:lvl>
    <w:lvl w:ilvl="5">
      <w:start w:val="1"/>
      <w:numFmt w:val="bullet"/>
      <w:lvlText w:val="–"/>
      <w:lvlJc w:val="left"/>
      <w:pPr>
        <w:ind w:left="1440" w:hanging="216"/>
      </w:pPr>
      <w:rPr>
        <w:rFonts w:ascii="Arial" w:hAnsi="Arial" w:hint="default"/>
        <w:color w:val="auto"/>
      </w:rPr>
    </w:lvl>
    <w:lvl w:ilvl="6">
      <w:start w:val="1"/>
      <w:numFmt w:val="bullet"/>
      <w:lvlText w:val="–"/>
      <w:lvlJc w:val="left"/>
      <w:pPr>
        <w:ind w:left="1656" w:hanging="216"/>
      </w:pPr>
      <w:rPr>
        <w:rFonts w:ascii="Arial" w:hAnsi="Arial" w:hint="default"/>
        <w:color w:val="auto"/>
      </w:rPr>
    </w:lvl>
    <w:lvl w:ilvl="7">
      <w:start w:val="1"/>
      <w:numFmt w:val="bullet"/>
      <w:lvlText w:val="–"/>
      <w:lvlJc w:val="left"/>
      <w:pPr>
        <w:ind w:left="1872" w:hanging="216"/>
      </w:pPr>
      <w:rPr>
        <w:rFonts w:ascii="Arial" w:hAnsi="Arial" w:hint="default"/>
        <w:color w:val="auto"/>
      </w:rPr>
    </w:lvl>
    <w:lvl w:ilvl="8">
      <w:start w:val="1"/>
      <w:numFmt w:val="bullet"/>
      <w:lvlText w:val="–"/>
      <w:lvlJc w:val="left"/>
      <w:pPr>
        <w:ind w:left="2088" w:hanging="216"/>
      </w:pPr>
      <w:rPr>
        <w:rFonts w:ascii="Arial" w:hAnsi="Arial" w:hint="default"/>
        <w:color w:val="FFFFFF" w:themeColor="background1"/>
      </w:rPr>
    </w:lvl>
  </w:abstractNum>
  <w:num w:numId="1" w16cid:durableId="1873224106">
    <w:abstractNumId w:val="18"/>
  </w:num>
  <w:num w:numId="2" w16cid:durableId="1383288061">
    <w:abstractNumId w:val="6"/>
  </w:num>
  <w:num w:numId="3" w16cid:durableId="1290012801">
    <w:abstractNumId w:val="22"/>
  </w:num>
  <w:num w:numId="4" w16cid:durableId="1843081017">
    <w:abstractNumId w:val="14"/>
  </w:num>
  <w:num w:numId="5" w16cid:durableId="1436359989">
    <w:abstractNumId w:val="24"/>
  </w:num>
  <w:num w:numId="6" w16cid:durableId="1333801578">
    <w:abstractNumId w:val="23"/>
  </w:num>
  <w:num w:numId="7" w16cid:durableId="1038893412">
    <w:abstractNumId w:val="5"/>
  </w:num>
  <w:num w:numId="8" w16cid:durableId="2034377822">
    <w:abstractNumId w:val="2"/>
  </w:num>
  <w:num w:numId="9" w16cid:durableId="1923758486">
    <w:abstractNumId w:val="17"/>
  </w:num>
  <w:num w:numId="10" w16cid:durableId="366685312">
    <w:abstractNumId w:val="26"/>
  </w:num>
  <w:num w:numId="11" w16cid:durableId="11145902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04055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35715">
    <w:abstractNumId w:val="7"/>
  </w:num>
  <w:num w:numId="14" w16cid:durableId="887381013">
    <w:abstractNumId w:val="3"/>
  </w:num>
  <w:num w:numId="15" w16cid:durableId="1347440624">
    <w:abstractNumId w:val="1"/>
  </w:num>
  <w:num w:numId="16" w16cid:durableId="739594489">
    <w:abstractNumId w:val="28"/>
  </w:num>
  <w:num w:numId="17" w16cid:durableId="603850366">
    <w:abstractNumId w:val="15"/>
  </w:num>
  <w:num w:numId="18" w16cid:durableId="1842744030">
    <w:abstractNumId w:val="15"/>
    <w:lvlOverride w:ilvl="0">
      <w:startOverride w:val="1"/>
    </w:lvlOverride>
  </w:num>
  <w:num w:numId="19" w16cid:durableId="1227499398">
    <w:abstractNumId w:val="15"/>
    <w:lvlOverride w:ilvl="0">
      <w:startOverride w:val="1"/>
    </w:lvlOverride>
  </w:num>
  <w:num w:numId="20" w16cid:durableId="713433633">
    <w:abstractNumId w:val="8"/>
  </w:num>
  <w:num w:numId="21" w16cid:durableId="609122646">
    <w:abstractNumId w:val="10"/>
  </w:num>
  <w:num w:numId="22" w16cid:durableId="1350178027">
    <w:abstractNumId w:val="13"/>
  </w:num>
  <w:num w:numId="23" w16cid:durableId="125859597">
    <w:abstractNumId w:val="4"/>
  </w:num>
  <w:num w:numId="24" w16cid:durableId="71507485">
    <w:abstractNumId w:val="16"/>
  </w:num>
  <w:num w:numId="25" w16cid:durableId="544025273">
    <w:abstractNumId w:val="0"/>
  </w:num>
  <w:num w:numId="26" w16cid:durableId="1502889073">
    <w:abstractNumId w:val="21"/>
  </w:num>
  <w:num w:numId="27" w16cid:durableId="869224191">
    <w:abstractNumId w:val="9"/>
  </w:num>
  <w:num w:numId="28" w16cid:durableId="703947085">
    <w:abstractNumId w:val="19"/>
  </w:num>
  <w:num w:numId="29" w16cid:durableId="1081367792">
    <w:abstractNumId w:val="20"/>
  </w:num>
  <w:num w:numId="30" w16cid:durableId="1802648367">
    <w:abstractNumId w:val="25"/>
  </w:num>
  <w:num w:numId="31" w16cid:durableId="897134637">
    <w:abstractNumId w:val="11"/>
  </w:num>
  <w:num w:numId="32" w16cid:durableId="182330318">
    <w:abstractNumId w:val="12"/>
  </w:num>
  <w:num w:numId="33" w16cid:durableId="1527910819">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zMDCwMDA2sjCzMDJV0lEKTi0uzszPAykwrgUA5R5ssCwAAAA="/>
  </w:docVars>
  <w:rsids>
    <w:rsidRoot w:val="00AE1CF2"/>
    <w:rsid w:val="00001D39"/>
    <w:rsid w:val="00002850"/>
    <w:rsid w:val="000113B0"/>
    <w:rsid w:val="00011D25"/>
    <w:rsid w:val="00012A84"/>
    <w:rsid w:val="00015D3F"/>
    <w:rsid w:val="00016737"/>
    <w:rsid w:val="00025CBA"/>
    <w:rsid w:val="00032985"/>
    <w:rsid w:val="00036233"/>
    <w:rsid w:val="00040DF5"/>
    <w:rsid w:val="00055E6A"/>
    <w:rsid w:val="00060D40"/>
    <w:rsid w:val="00061CD4"/>
    <w:rsid w:val="000655DD"/>
    <w:rsid w:val="0008737A"/>
    <w:rsid w:val="000B6EDA"/>
    <w:rsid w:val="000C2490"/>
    <w:rsid w:val="000C3B01"/>
    <w:rsid w:val="000C5934"/>
    <w:rsid w:val="000D5493"/>
    <w:rsid w:val="000F2ABB"/>
    <w:rsid w:val="000F7781"/>
    <w:rsid w:val="001010DC"/>
    <w:rsid w:val="00106766"/>
    <w:rsid w:val="00121241"/>
    <w:rsid w:val="001218F6"/>
    <w:rsid w:val="001241FE"/>
    <w:rsid w:val="00127024"/>
    <w:rsid w:val="00135D5D"/>
    <w:rsid w:val="00137B27"/>
    <w:rsid w:val="00140B5D"/>
    <w:rsid w:val="00141AAE"/>
    <w:rsid w:val="0015502C"/>
    <w:rsid w:val="00165045"/>
    <w:rsid w:val="00167C27"/>
    <w:rsid w:val="001719EA"/>
    <w:rsid w:val="00172876"/>
    <w:rsid w:val="001740DD"/>
    <w:rsid w:val="00175EBC"/>
    <w:rsid w:val="00184B85"/>
    <w:rsid w:val="00186C10"/>
    <w:rsid w:val="00187A06"/>
    <w:rsid w:val="00190938"/>
    <w:rsid w:val="00196467"/>
    <w:rsid w:val="00197093"/>
    <w:rsid w:val="001A412B"/>
    <w:rsid w:val="001A473E"/>
    <w:rsid w:val="001A499B"/>
    <w:rsid w:val="001A4A78"/>
    <w:rsid w:val="001A5E05"/>
    <w:rsid w:val="001C228D"/>
    <w:rsid w:val="001C245B"/>
    <w:rsid w:val="001E174E"/>
    <w:rsid w:val="001E6C56"/>
    <w:rsid w:val="001F3095"/>
    <w:rsid w:val="001F4BD7"/>
    <w:rsid w:val="001F6834"/>
    <w:rsid w:val="00211E42"/>
    <w:rsid w:val="00222282"/>
    <w:rsid w:val="00250C30"/>
    <w:rsid w:val="00251C40"/>
    <w:rsid w:val="00254216"/>
    <w:rsid w:val="002637E0"/>
    <w:rsid w:val="00264840"/>
    <w:rsid w:val="00270701"/>
    <w:rsid w:val="00276869"/>
    <w:rsid w:val="00287418"/>
    <w:rsid w:val="00287640"/>
    <w:rsid w:val="00291F18"/>
    <w:rsid w:val="00294F77"/>
    <w:rsid w:val="0029682D"/>
    <w:rsid w:val="002A7161"/>
    <w:rsid w:val="002B1751"/>
    <w:rsid w:val="002B4AF8"/>
    <w:rsid w:val="002C0867"/>
    <w:rsid w:val="002D26BD"/>
    <w:rsid w:val="002D695D"/>
    <w:rsid w:val="002E0336"/>
    <w:rsid w:val="002E1FF8"/>
    <w:rsid w:val="002E4FE0"/>
    <w:rsid w:val="002E530F"/>
    <w:rsid w:val="00304CEB"/>
    <w:rsid w:val="00326D92"/>
    <w:rsid w:val="00334579"/>
    <w:rsid w:val="00345BEC"/>
    <w:rsid w:val="00381ED0"/>
    <w:rsid w:val="003876BB"/>
    <w:rsid w:val="0039067D"/>
    <w:rsid w:val="00396F7F"/>
    <w:rsid w:val="0039758F"/>
    <w:rsid w:val="003A3A05"/>
    <w:rsid w:val="003B2AC7"/>
    <w:rsid w:val="003B3E0C"/>
    <w:rsid w:val="003B47B4"/>
    <w:rsid w:val="003B5A30"/>
    <w:rsid w:val="003B7C0B"/>
    <w:rsid w:val="003C04F0"/>
    <w:rsid w:val="003C570A"/>
    <w:rsid w:val="003D5410"/>
    <w:rsid w:val="003D5438"/>
    <w:rsid w:val="003E2CDD"/>
    <w:rsid w:val="003F70D8"/>
    <w:rsid w:val="00401B2E"/>
    <w:rsid w:val="00415601"/>
    <w:rsid w:val="0041756A"/>
    <w:rsid w:val="00420FF0"/>
    <w:rsid w:val="0042156C"/>
    <w:rsid w:val="004245EE"/>
    <w:rsid w:val="00427596"/>
    <w:rsid w:val="00427ADD"/>
    <w:rsid w:val="00430A1A"/>
    <w:rsid w:val="004327D0"/>
    <w:rsid w:val="004332D8"/>
    <w:rsid w:val="00434D23"/>
    <w:rsid w:val="004357BE"/>
    <w:rsid w:val="00436478"/>
    <w:rsid w:val="00443D11"/>
    <w:rsid w:val="004444D6"/>
    <w:rsid w:val="0044681C"/>
    <w:rsid w:val="004479CD"/>
    <w:rsid w:val="00453344"/>
    <w:rsid w:val="0045368E"/>
    <w:rsid w:val="00453B10"/>
    <w:rsid w:val="00456F11"/>
    <w:rsid w:val="00465B2A"/>
    <w:rsid w:val="00467D2D"/>
    <w:rsid w:val="004778EE"/>
    <w:rsid w:val="00483257"/>
    <w:rsid w:val="004A0B20"/>
    <w:rsid w:val="004A3C0F"/>
    <w:rsid w:val="004A6684"/>
    <w:rsid w:val="004B61CA"/>
    <w:rsid w:val="004C2933"/>
    <w:rsid w:val="004D0172"/>
    <w:rsid w:val="004F0707"/>
    <w:rsid w:val="004F3BD6"/>
    <w:rsid w:val="004F6F12"/>
    <w:rsid w:val="00513652"/>
    <w:rsid w:val="0051383A"/>
    <w:rsid w:val="00514AEE"/>
    <w:rsid w:val="005162A9"/>
    <w:rsid w:val="0052015B"/>
    <w:rsid w:val="00522A7D"/>
    <w:rsid w:val="00531133"/>
    <w:rsid w:val="00532DA3"/>
    <w:rsid w:val="00532DD9"/>
    <w:rsid w:val="005349F0"/>
    <w:rsid w:val="00542B10"/>
    <w:rsid w:val="00550884"/>
    <w:rsid w:val="00554CEC"/>
    <w:rsid w:val="005656E1"/>
    <w:rsid w:val="00567735"/>
    <w:rsid w:val="00571835"/>
    <w:rsid w:val="00574764"/>
    <w:rsid w:val="0057552B"/>
    <w:rsid w:val="00581C5E"/>
    <w:rsid w:val="005B5DDC"/>
    <w:rsid w:val="005B7B6C"/>
    <w:rsid w:val="005C3EDB"/>
    <w:rsid w:val="005C57AB"/>
    <w:rsid w:val="005D2E5F"/>
    <w:rsid w:val="005D3C04"/>
    <w:rsid w:val="005D750D"/>
    <w:rsid w:val="005F44EA"/>
    <w:rsid w:val="005F4B93"/>
    <w:rsid w:val="00600211"/>
    <w:rsid w:val="006077E2"/>
    <w:rsid w:val="00607C80"/>
    <w:rsid w:val="00614FC8"/>
    <w:rsid w:val="006164B9"/>
    <w:rsid w:val="0063408B"/>
    <w:rsid w:val="006413C7"/>
    <w:rsid w:val="00642838"/>
    <w:rsid w:val="0065088C"/>
    <w:rsid w:val="00664FC4"/>
    <w:rsid w:val="006821B9"/>
    <w:rsid w:val="006831EB"/>
    <w:rsid w:val="00690C6B"/>
    <w:rsid w:val="00691ABE"/>
    <w:rsid w:val="006A0671"/>
    <w:rsid w:val="006A323C"/>
    <w:rsid w:val="006A6DAE"/>
    <w:rsid w:val="006C0C4E"/>
    <w:rsid w:val="006C5C80"/>
    <w:rsid w:val="006D50FA"/>
    <w:rsid w:val="006F1FEE"/>
    <w:rsid w:val="006F752F"/>
    <w:rsid w:val="007025D5"/>
    <w:rsid w:val="00722A2E"/>
    <w:rsid w:val="00725262"/>
    <w:rsid w:val="0073690C"/>
    <w:rsid w:val="0075001D"/>
    <w:rsid w:val="00755D47"/>
    <w:rsid w:val="00762FAA"/>
    <w:rsid w:val="00767E14"/>
    <w:rsid w:val="00774E43"/>
    <w:rsid w:val="007830D3"/>
    <w:rsid w:val="00793FEC"/>
    <w:rsid w:val="00794CAE"/>
    <w:rsid w:val="007B0419"/>
    <w:rsid w:val="007B162B"/>
    <w:rsid w:val="007B3447"/>
    <w:rsid w:val="007D6D20"/>
    <w:rsid w:val="007D7484"/>
    <w:rsid w:val="007E75EC"/>
    <w:rsid w:val="007F3451"/>
    <w:rsid w:val="0081170B"/>
    <w:rsid w:val="00814A0A"/>
    <w:rsid w:val="008403AA"/>
    <w:rsid w:val="00844B63"/>
    <w:rsid w:val="00845240"/>
    <w:rsid w:val="0085247C"/>
    <w:rsid w:val="00857F5D"/>
    <w:rsid w:val="00860D03"/>
    <w:rsid w:val="00866B3C"/>
    <w:rsid w:val="00874F3F"/>
    <w:rsid w:val="00887353"/>
    <w:rsid w:val="008916C4"/>
    <w:rsid w:val="008A40E7"/>
    <w:rsid w:val="008C005E"/>
    <w:rsid w:val="008C2718"/>
    <w:rsid w:val="008C36DB"/>
    <w:rsid w:val="008D1494"/>
    <w:rsid w:val="008D214F"/>
    <w:rsid w:val="008E1434"/>
    <w:rsid w:val="008E6160"/>
    <w:rsid w:val="00905175"/>
    <w:rsid w:val="00914DD8"/>
    <w:rsid w:val="00917913"/>
    <w:rsid w:val="00930D8A"/>
    <w:rsid w:val="00930E85"/>
    <w:rsid w:val="009414AB"/>
    <w:rsid w:val="009421D2"/>
    <w:rsid w:val="00945AE2"/>
    <w:rsid w:val="0095018F"/>
    <w:rsid w:val="00955404"/>
    <w:rsid w:val="009609B1"/>
    <w:rsid w:val="00982A6C"/>
    <w:rsid w:val="009A74F2"/>
    <w:rsid w:val="009B02A9"/>
    <w:rsid w:val="009E69D4"/>
    <w:rsid w:val="009F066B"/>
    <w:rsid w:val="009F57B4"/>
    <w:rsid w:val="009F6BA5"/>
    <w:rsid w:val="00A023BE"/>
    <w:rsid w:val="00A031F4"/>
    <w:rsid w:val="00A04C07"/>
    <w:rsid w:val="00A05F1D"/>
    <w:rsid w:val="00A15316"/>
    <w:rsid w:val="00A24828"/>
    <w:rsid w:val="00A2742B"/>
    <w:rsid w:val="00A30C56"/>
    <w:rsid w:val="00A31CE6"/>
    <w:rsid w:val="00A352A8"/>
    <w:rsid w:val="00A41919"/>
    <w:rsid w:val="00A43E63"/>
    <w:rsid w:val="00A544FD"/>
    <w:rsid w:val="00A567A2"/>
    <w:rsid w:val="00A65127"/>
    <w:rsid w:val="00A67858"/>
    <w:rsid w:val="00A71F22"/>
    <w:rsid w:val="00A72D15"/>
    <w:rsid w:val="00A82BA4"/>
    <w:rsid w:val="00A94CAF"/>
    <w:rsid w:val="00A965D2"/>
    <w:rsid w:val="00AA27F9"/>
    <w:rsid w:val="00AB44BF"/>
    <w:rsid w:val="00AD72FA"/>
    <w:rsid w:val="00AD77A3"/>
    <w:rsid w:val="00AD79A8"/>
    <w:rsid w:val="00AE135C"/>
    <w:rsid w:val="00AE17D7"/>
    <w:rsid w:val="00AE1CF2"/>
    <w:rsid w:val="00AF7731"/>
    <w:rsid w:val="00AF79A3"/>
    <w:rsid w:val="00B01F9D"/>
    <w:rsid w:val="00B02DBE"/>
    <w:rsid w:val="00B0778B"/>
    <w:rsid w:val="00B11919"/>
    <w:rsid w:val="00B12803"/>
    <w:rsid w:val="00B14D6D"/>
    <w:rsid w:val="00B206A0"/>
    <w:rsid w:val="00B3573B"/>
    <w:rsid w:val="00B47F60"/>
    <w:rsid w:val="00B508B0"/>
    <w:rsid w:val="00B50BB9"/>
    <w:rsid w:val="00B52664"/>
    <w:rsid w:val="00B53E9C"/>
    <w:rsid w:val="00B56FF4"/>
    <w:rsid w:val="00B61797"/>
    <w:rsid w:val="00B62E9B"/>
    <w:rsid w:val="00B70270"/>
    <w:rsid w:val="00B708D0"/>
    <w:rsid w:val="00B709C3"/>
    <w:rsid w:val="00B9410A"/>
    <w:rsid w:val="00B952FF"/>
    <w:rsid w:val="00BA11DC"/>
    <w:rsid w:val="00BA6379"/>
    <w:rsid w:val="00BB0520"/>
    <w:rsid w:val="00BB599E"/>
    <w:rsid w:val="00BC1C1F"/>
    <w:rsid w:val="00BC2584"/>
    <w:rsid w:val="00BD6B6B"/>
    <w:rsid w:val="00C0088C"/>
    <w:rsid w:val="00C0400C"/>
    <w:rsid w:val="00C12823"/>
    <w:rsid w:val="00C15E6F"/>
    <w:rsid w:val="00C1791A"/>
    <w:rsid w:val="00C2062B"/>
    <w:rsid w:val="00C22EE5"/>
    <w:rsid w:val="00C3402A"/>
    <w:rsid w:val="00C354A3"/>
    <w:rsid w:val="00C437B1"/>
    <w:rsid w:val="00C55586"/>
    <w:rsid w:val="00C62F57"/>
    <w:rsid w:val="00C66EA6"/>
    <w:rsid w:val="00C703A2"/>
    <w:rsid w:val="00C911BD"/>
    <w:rsid w:val="00C936EB"/>
    <w:rsid w:val="00C94DC3"/>
    <w:rsid w:val="00CA0038"/>
    <w:rsid w:val="00CA6415"/>
    <w:rsid w:val="00CA6C9A"/>
    <w:rsid w:val="00CA7013"/>
    <w:rsid w:val="00CA7099"/>
    <w:rsid w:val="00CB11A5"/>
    <w:rsid w:val="00CC7DC6"/>
    <w:rsid w:val="00CD27A9"/>
    <w:rsid w:val="00CD4063"/>
    <w:rsid w:val="00CF3FFF"/>
    <w:rsid w:val="00CF6817"/>
    <w:rsid w:val="00CF704D"/>
    <w:rsid w:val="00D0113A"/>
    <w:rsid w:val="00D131BD"/>
    <w:rsid w:val="00D219BD"/>
    <w:rsid w:val="00D3568D"/>
    <w:rsid w:val="00D4357B"/>
    <w:rsid w:val="00D44E7D"/>
    <w:rsid w:val="00D57714"/>
    <w:rsid w:val="00D577BC"/>
    <w:rsid w:val="00D61E7C"/>
    <w:rsid w:val="00D64497"/>
    <w:rsid w:val="00D669E9"/>
    <w:rsid w:val="00D75933"/>
    <w:rsid w:val="00D81AA4"/>
    <w:rsid w:val="00DB4FD2"/>
    <w:rsid w:val="00DE205E"/>
    <w:rsid w:val="00DE4831"/>
    <w:rsid w:val="00E01A88"/>
    <w:rsid w:val="00E046B9"/>
    <w:rsid w:val="00E14D66"/>
    <w:rsid w:val="00E23348"/>
    <w:rsid w:val="00E274C7"/>
    <w:rsid w:val="00E341B1"/>
    <w:rsid w:val="00E414C4"/>
    <w:rsid w:val="00E60AA3"/>
    <w:rsid w:val="00E61DB4"/>
    <w:rsid w:val="00E7559F"/>
    <w:rsid w:val="00E75789"/>
    <w:rsid w:val="00E75DEF"/>
    <w:rsid w:val="00E82081"/>
    <w:rsid w:val="00E91484"/>
    <w:rsid w:val="00EA2EC2"/>
    <w:rsid w:val="00EA4A81"/>
    <w:rsid w:val="00EA5343"/>
    <w:rsid w:val="00EB3B64"/>
    <w:rsid w:val="00EF5D11"/>
    <w:rsid w:val="00F00268"/>
    <w:rsid w:val="00F044E6"/>
    <w:rsid w:val="00F04A2A"/>
    <w:rsid w:val="00F25C7E"/>
    <w:rsid w:val="00F30DEF"/>
    <w:rsid w:val="00F413AA"/>
    <w:rsid w:val="00F426A0"/>
    <w:rsid w:val="00F571F1"/>
    <w:rsid w:val="00F57710"/>
    <w:rsid w:val="00F644B0"/>
    <w:rsid w:val="00F67AC3"/>
    <w:rsid w:val="00F73FF5"/>
    <w:rsid w:val="00F77385"/>
    <w:rsid w:val="00F7782F"/>
    <w:rsid w:val="00F77E09"/>
    <w:rsid w:val="00F83829"/>
    <w:rsid w:val="00F9253F"/>
    <w:rsid w:val="00F974EC"/>
    <w:rsid w:val="00FA2216"/>
    <w:rsid w:val="00FA386D"/>
    <w:rsid w:val="00FA3BE4"/>
    <w:rsid w:val="00FA436F"/>
    <w:rsid w:val="00FA6061"/>
    <w:rsid w:val="00FB290C"/>
    <w:rsid w:val="00FB3864"/>
    <w:rsid w:val="00FC76E5"/>
    <w:rsid w:val="00FD09B1"/>
    <w:rsid w:val="00FD1E8B"/>
    <w:rsid w:val="00FD462A"/>
    <w:rsid w:val="00FD67A0"/>
    <w:rsid w:val="00FE13A1"/>
    <w:rsid w:val="00FE45A4"/>
    <w:rsid w:val="00FE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CFDCE"/>
  <w14:defaultImageDpi w14:val="32767"/>
  <w15:chartTrackingRefBased/>
  <w15:docId w15:val="{277E820B-9988-E947-9113-616EE51C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qFormat="1"/>
    <w:lsdException w:name="Smart Link" w:semiHidden="1" w:unhideWhenUsed="1"/>
  </w:latentStyles>
  <w:style w:type="paragraph" w:default="1" w:styleId="Normal">
    <w:name w:val="Normal"/>
    <w:qFormat/>
    <w:rsid w:val="001C228D"/>
    <w:pPr>
      <w:spacing w:after="160" w:line="278" w:lineRule="auto"/>
    </w:pPr>
    <w:rPr>
      <w:rFonts w:asciiTheme="minorHAnsi" w:hAnsiTheme="minorHAnsi" w:cstheme="minorBidi"/>
      <w:kern w:val="2"/>
      <w:sz w:val="24"/>
      <w:szCs w:val="24"/>
      <w:lang w:val="en-GB"/>
      <w14:ligatures w14:val="standardContextual"/>
    </w:rPr>
  </w:style>
  <w:style w:type="paragraph" w:styleId="Heading1">
    <w:name w:val="heading 1"/>
    <w:basedOn w:val="Normal"/>
    <w:next w:val="Normal"/>
    <w:link w:val="Heading1Char"/>
    <w:uiPriority w:val="9"/>
    <w:qFormat/>
    <w:rsid w:val="003876BB"/>
    <w:pPr>
      <w:spacing w:after="720"/>
      <w:outlineLvl w:val="0"/>
    </w:pPr>
    <w:rPr>
      <w:b/>
      <w:sz w:val="36"/>
      <w:szCs w:val="36"/>
    </w:rPr>
  </w:style>
  <w:style w:type="paragraph" w:styleId="Heading2">
    <w:name w:val="heading 2"/>
    <w:basedOn w:val="Normal"/>
    <w:next w:val="Normal"/>
    <w:link w:val="Heading2Char"/>
    <w:uiPriority w:val="9"/>
    <w:unhideWhenUsed/>
    <w:qFormat/>
    <w:rsid w:val="003876BB"/>
    <w:pPr>
      <w:spacing w:before="360" w:after="0"/>
      <w:outlineLvl w:val="1"/>
    </w:pPr>
    <w:rPr>
      <w:b/>
    </w:rPr>
  </w:style>
  <w:style w:type="paragraph" w:styleId="Heading3">
    <w:name w:val="heading 3"/>
    <w:basedOn w:val="Normal"/>
    <w:next w:val="Normal"/>
    <w:link w:val="Heading3Char"/>
    <w:uiPriority w:val="9"/>
    <w:unhideWhenUsed/>
    <w:qFormat/>
    <w:rsid w:val="003876BB"/>
    <w:pPr>
      <w:spacing w:before="180" w:after="0"/>
      <w:outlineLvl w:val="2"/>
    </w:pPr>
    <w:rPr>
      <w:b/>
      <w:color w:val="404040" w:themeColor="text1" w:themeTint="BF"/>
    </w:rPr>
  </w:style>
  <w:style w:type="paragraph" w:styleId="Heading4">
    <w:name w:val="heading 4"/>
    <w:basedOn w:val="Normal"/>
    <w:next w:val="Normal"/>
    <w:link w:val="Heading4Char"/>
    <w:uiPriority w:val="9"/>
    <w:unhideWhenUsed/>
    <w:qFormat/>
    <w:rsid w:val="003876BB"/>
    <w:pPr>
      <w:spacing w:before="180" w:after="0"/>
      <w:outlineLvl w:val="3"/>
    </w:pPr>
    <w:rPr>
      <w:b/>
      <w:color w:val="7F7F7F" w:themeColor="text1" w:themeTint="80"/>
    </w:rPr>
  </w:style>
  <w:style w:type="paragraph" w:styleId="Heading5">
    <w:name w:val="heading 5"/>
    <w:basedOn w:val="Normal"/>
    <w:next w:val="Normal"/>
    <w:link w:val="Heading5Char"/>
    <w:uiPriority w:val="9"/>
    <w:semiHidden/>
    <w:unhideWhenUsed/>
    <w:qFormat/>
    <w:rsid w:val="003876BB"/>
    <w:pPr>
      <w:keepNext/>
      <w:keepLines/>
      <w:spacing w:before="40" w:after="0"/>
      <w:outlineLvl w:val="4"/>
    </w:pPr>
    <w:rPr>
      <w:rFonts w:eastAsiaTheme="majorEastAsia" w:cstheme="majorBidi"/>
      <w:color w:val="7F7F7F" w:themeColor="text1" w:themeTint="80"/>
      <w:u w:val="single"/>
    </w:rPr>
  </w:style>
  <w:style w:type="paragraph" w:styleId="Heading6">
    <w:name w:val="heading 6"/>
    <w:basedOn w:val="Normal"/>
    <w:next w:val="Normal"/>
    <w:link w:val="Heading6Char"/>
    <w:uiPriority w:val="9"/>
    <w:semiHidden/>
    <w:unhideWhenUsed/>
    <w:qFormat/>
    <w:rsid w:val="003876BB"/>
    <w:pPr>
      <w:keepNext/>
      <w:keepLines/>
      <w:spacing w:before="40" w:after="0"/>
      <w:outlineLvl w:val="5"/>
    </w:pPr>
    <w:rPr>
      <w:rFonts w:eastAsiaTheme="majorEastAsia" w:cstheme="majorBidi"/>
      <w:i/>
      <w:color w:val="000000"/>
    </w:rPr>
  </w:style>
  <w:style w:type="paragraph" w:styleId="Heading7">
    <w:name w:val="heading 7"/>
    <w:basedOn w:val="Normal"/>
    <w:next w:val="Normal"/>
    <w:link w:val="Heading7Char"/>
    <w:uiPriority w:val="9"/>
    <w:semiHidden/>
    <w:unhideWhenUsed/>
    <w:qFormat/>
    <w:rsid w:val="003876BB"/>
    <w:pPr>
      <w:keepNext/>
      <w:keepLines/>
      <w:spacing w:before="40" w:after="0"/>
      <w:outlineLvl w:val="6"/>
    </w:pPr>
    <w:rPr>
      <w:rFonts w:eastAsiaTheme="majorEastAsia" w:cstheme="majorBidi"/>
      <w:i/>
      <w:iCs/>
      <w:color w:val="7F7F7F" w:themeColor="text1" w:themeTint="80"/>
    </w:rPr>
  </w:style>
  <w:style w:type="paragraph" w:styleId="Heading8">
    <w:name w:val="heading 8"/>
    <w:basedOn w:val="Normal"/>
    <w:next w:val="Normal"/>
    <w:link w:val="Heading8Char"/>
    <w:uiPriority w:val="9"/>
    <w:semiHidden/>
    <w:unhideWhenUsed/>
    <w:qFormat/>
    <w:rsid w:val="003876BB"/>
    <w:pPr>
      <w:keepNext/>
      <w:keepLines/>
      <w:spacing w:before="40" w:after="0"/>
      <w:outlineLvl w:val="7"/>
    </w:pPr>
    <w:rPr>
      <w:rFonts w:eastAsiaTheme="majorEastAsia" w:cstheme="majorBidi"/>
      <w:i/>
      <w:color w:val="A6A6A6" w:themeColor="background1" w:themeShade="A6"/>
      <w:sz w:val="21"/>
      <w:szCs w:val="21"/>
    </w:rPr>
  </w:style>
  <w:style w:type="paragraph" w:styleId="Heading9">
    <w:name w:val="heading 9"/>
    <w:basedOn w:val="Normal"/>
    <w:next w:val="Normal"/>
    <w:link w:val="Heading9Char"/>
    <w:uiPriority w:val="9"/>
    <w:semiHidden/>
    <w:unhideWhenUsed/>
    <w:qFormat/>
    <w:rsid w:val="003876BB"/>
    <w:pPr>
      <w:keepNext/>
      <w:keepLines/>
      <w:spacing w:before="40" w:after="0"/>
      <w:outlineLvl w:val="8"/>
    </w:pPr>
    <w:rPr>
      <w:rFonts w:eastAsiaTheme="majorEastAsia" w:cstheme="majorBidi"/>
      <w:i/>
      <w:iCs/>
      <w:color w:val="BFBFBF" w:themeColor="background1" w:themeShade="BF"/>
      <w:szCs w:val="21"/>
    </w:rPr>
  </w:style>
  <w:style w:type="character" w:default="1" w:styleId="DefaultParagraphFont">
    <w:name w:val="Default Paragraph Font"/>
    <w:uiPriority w:val="1"/>
    <w:semiHidden/>
    <w:unhideWhenUsed/>
    <w:rsid w:val="001C22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228D"/>
  </w:style>
  <w:style w:type="numbering" w:customStyle="1" w:styleId="BulletList">
    <w:name w:val="Bullet List"/>
    <w:basedOn w:val="NoList"/>
    <w:uiPriority w:val="99"/>
    <w:rsid w:val="003876BB"/>
    <w:pPr>
      <w:numPr>
        <w:numId w:val="1"/>
      </w:numPr>
    </w:pPr>
  </w:style>
  <w:style w:type="paragraph" w:styleId="Header">
    <w:name w:val="header"/>
    <w:basedOn w:val="Normal"/>
    <w:link w:val="HeaderChar"/>
    <w:uiPriority w:val="99"/>
    <w:unhideWhenUsed/>
    <w:qFormat/>
    <w:rsid w:val="003876BB"/>
    <w:pPr>
      <w:tabs>
        <w:tab w:val="center" w:pos="4680"/>
        <w:tab w:val="right" w:pos="9360"/>
      </w:tabs>
    </w:pPr>
    <w:rPr>
      <w:sz w:val="18"/>
    </w:rPr>
  </w:style>
  <w:style w:type="character" w:customStyle="1" w:styleId="HeaderChar">
    <w:name w:val="Header Char"/>
    <w:basedOn w:val="DefaultParagraphFont"/>
    <w:link w:val="Header"/>
    <w:uiPriority w:val="99"/>
    <w:rsid w:val="003876BB"/>
    <w:rPr>
      <w:sz w:val="18"/>
    </w:rPr>
  </w:style>
  <w:style w:type="paragraph" w:styleId="Footer">
    <w:name w:val="footer"/>
    <w:basedOn w:val="Normal"/>
    <w:link w:val="FooterChar"/>
    <w:uiPriority w:val="99"/>
    <w:unhideWhenUsed/>
    <w:qFormat/>
    <w:rsid w:val="003876BB"/>
    <w:pPr>
      <w:autoSpaceDE w:val="0"/>
      <w:autoSpaceDN w:val="0"/>
      <w:adjustRightInd w:val="0"/>
      <w:spacing w:line="160" w:lineRule="atLeast"/>
      <w:textAlignment w:val="center"/>
    </w:pPr>
    <w:rPr>
      <w:rFonts w:eastAsia="Times New Roman"/>
      <w:bCs/>
      <w:color w:val="000000"/>
      <w:sz w:val="16"/>
      <w:szCs w:val="16"/>
    </w:rPr>
  </w:style>
  <w:style w:type="character" w:customStyle="1" w:styleId="FooterChar">
    <w:name w:val="Footer Char"/>
    <w:basedOn w:val="DefaultParagraphFont"/>
    <w:link w:val="Footer"/>
    <w:uiPriority w:val="99"/>
    <w:rsid w:val="003876BB"/>
    <w:rPr>
      <w:rFonts w:asciiTheme="minorHAnsi" w:eastAsia="Times New Roman" w:hAnsiTheme="minorHAnsi"/>
      <w:bCs/>
      <w:color w:val="000000"/>
      <w:sz w:val="16"/>
      <w:szCs w:val="16"/>
    </w:rPr>
  </w:style>
  <w:style w:type="character" w:customStyle="1" w:styleId="Heading1Char">
    <w:name w:val="Heading 1 Char"/>
    <w:basedOn w:val="DefaultParagraphFont"/>
    <w:link w:val="Heading1"/>
    <w:uiPriority w:val="9"/>
    <w:rsid w:val="003876BB"/>
    <w:rPr>
      <w:b/>
      <w:sz w:val="36"/>
      <w:szCs w:val="36"/>
    </w:rPr>
  </w:style>
  <w:style w:type="character" w:customStyle="1" w:styleId="Heading2Char">
    <w:name w:val="Heading 2 Char"/>
    <w:basedOn w:val="DefaultParagraphFont"/>
    <w:link w:val="Heading2"/>
    <w:uiPriority w:val="9"/>
    <w:rsid w:val="003876BB"/>
    <w:rPr>
      <w:b/>
      <w:sz w:val="24"/>
      <w:szCs w:val="24"/>
    </w:rPr>
  </w:style>
  <w:style w:type="character" w:customStyle="1" w:styleId="Heading3Char">
    <w:name w:val="Heading 3 Char"/>
    <w:basedOn w:val="DefaultParagraphFont"/>
    <w:link w:val="Heading3"/>
    <w:uiPriority w:val="9"/>
    <w:rsid w:val="003876BB"/>
    <w:rPr>
      <w:b/>
      <w:color w:val="404040" w:themeColor="text1" w:themeTint="BF"/>
    </w:rPr>
  </w:style>
  <w:style w:type="character" w:customStyle="1" w:styleId="Heading4Char">
    <w:name w:val="Heading 4 Char"/>
    <w:basedOn w:val="DefaultParagraphFont"/>
    <w:link w:val="Heading4"/>
    <w:uiPriority w:val="9"/>
    <w:rsid w:val="003876BB"/>
    <w:rPr>
      <w:b/>
      <w:color w:val="7F7F7F" w:themeColor="text1" w:themeTint="80"/>
    </w:rPr>
  </w:style>
  <w:style w:type="paragraph" w:customStyle="1" w:styleId="TOCtitle">
    <w:name w:val="TOC title"/>
    <w:basedOn w:val="Normal"/>
    <w:qFormat/>
    <w:rsid w:val="003876BB"/>
  </w:style>
  <w:style w:type="character" w:styleId="Emphasis">
    <w:name w:val="Emphasis"/>
    <w:basedOn w:val="DefaultParagraphFont"/>
    <w:uiPriority w:val="20"/>
    <w:qFormat/>
    <w:rsid w:val="003876BB"/>
    <w:rPr>
      <w:rFonts w:ascii="Arial" w:hAnsi="Arial"/>
      <w:b/>
      <w:i w:val="0"/>
      <w:sz w:val="20"/>
      <w:u w:val="none"/>
    </w:rPr>
  </w:style>
  <w:style w:type="character" w:customStyle="1" w:styleId="Heading5Char">
    <w:name w:val="Heading 5 Char"/>
    <w:basedOn w:val="DefaultParagraphFont"/>
    <w:link w:val="Heading5"/>
    <w:uiPriority w:val="9"/>
    <w:semiHidden/>
    <w:rsid w:val="003876BB"/>
    <w:rPr>
      <w:rFonts w:eastAsiaTheme="majorEastAsia" w:cstheme="majorBidi"/>
      <w:color w:val="7F7F7F" w:themeColor="text1" w:themeTint="80"/>
      <w:u w:val="single"/>
    </w:rPr>
  </w:style>
  <w:style w:type="paragraph" w:styleId="ListParagraph">
    <w:name w:val="List Paragraph"/>
    <w:basedOn w:val="Normal"/>
    <w:uiPriority w:val="34"/>
    <w:qFormat/>
    <w:rsid w:val="003876BB"/>
    <w:pPr>
      <w:numPr>
        <w:numId w:val="10"/>
      </w:numPr>
      <w:spacing w:after="80" w:line="240" w:lineRule="auto"/>
      <w:ind w:left="216" w:hanging="216"/>
      <w:contextualSpacing/>
    </w:pPr>
  </w:style>
  <w:style w:type="character" w:styleId="Hyperlink">
    <w:name w:val="Hyperlink"/>
    <w:uiPriority w:val="99"/>
    <w:unhideWhenUsed/>
    <w:qFormat/>
    <w:rsid w:val="003876BB"/>
    <w:rPr>
      <w:color w:val="000000"/>
      <w:u w:val="single"/>
    </w:rPr>
  </w:style>
  <w:style w:type="paragraph" w:customStyle="1" w:styleId="DocumentTitle">
    <w:name w:val="Document Title"/>
    <w:basedOn w:val="Normal"/>
    <w:qFormat/>
    <w:rsid w:val="003876BB"/>
    <w:rPr>
      <w:b/>
      <w:color w:val="000000"/>
      <w:sz w:val="112"/>
      <w:szCs w:val="112"/>
      <w:lang w:val="es-ES"/>
    </w:rPr>
  </w:style>
  <w:style w:type="paragraph" w:customStyle="1" w:styleId="DocumentSubtitle">
    <w:name w:val="Document Subtitle"/>
    <w:basedOn w:val="Normal"/>
    <w:qFormat/>
    <w:rsid w:val="003876BB"/>
    <w:pPr>
      <w:spacing w:before="720" w:after="1680"/>
    </w:pPr>
    <w:rPr>
      <w:sz w:val="64"/>
      <w:szCs w:val="64"/>
    </w:rPr>
  </w:style>
  <w:style w:type="paragraph" w:styleId="TOC1">
    <w:name w:val="toc 1"/>
    <w:basedOn w:val="Normal"/>
    <w:next w:val="Normal"/>
    <w:autoRedefine/>
    <w:uiPriority w:val="39"/>
    <w:unhideWhenUsed/>
    <w:qFormat/>
    <w:rsid w:val="003876BB"/>
    <w:pPr>
      <w:spacing w:before="120" w:after="0"/>
    </w:pPr>
    <w:rPr>
      <w:rFonts w:cstheme="minorHAnsi"/>
      <w:b/>
      <w:bCs/>
      <w:iCs/>
    </w:rPr>
  </w:style>
  <w:style w:type="paragraph" w:styleId="TOC2">
    <w:name w:val="toc 2"/>
    <w:basedOn w:val="Normal"/>
    <w:next w:val="Normal"/>
    <w:uiPriority w:val="39"/>
    <w:unhideWhenUsed/>
    <w:qFormat/>
    <w:rsid w:val="003876BB"/>
    <w:pPr>
      <w:spacing w:before="120" w:after="0"/>
      <w:ind w:left="200"/>
    </w:pPr>
    <w:rPr>
      <w:rFonts w:cstheme="minorHAnsi"/>
      <w:b/>
      <w:bCs/>
    </w:rPr>
  </w:style>
  <w:style w:type="paragraph" w:styleId="TOC3">
    <w:name w:val="toc 3"/>
    <w:basedOn w:val="Normal"/>
    <w:next w:val="Normal"/>
    <w:uiPriority w:val="39"/>
    <w:unhideWhenUsed/>
    <w:qFormat/>
    <w:rsid w:val="003876BB"/>
    <w:pPr>
      <w:spacing w:after="0"/>
      <w:ind w:left="400"/>
    </w:pPr>
    <w:rPr>
      <w:rFonts w:cstheme="minorHAnsi"/>
    </w:rPr>
  </w:style>
  <w:style w:type="paragraph" w:styleId="TOC4">
    <w:name w:val="toc 4"/>
    <w:basedOn w:val="Normal"/>
    <w:next w:val="Normal"/>
    <w:uiPriority w:val="39"/>
    <w:unhideWhenUsed/>
    <w:qFormat/>
    <w:rsid w:val="003876BB"/>
    <w:pPr>
      <w:spacing w:after="0"/>
      <w:ind w:left="600"/>
    </w:pPr>
    <w:rPr>
      <w:rFonts w:cstheme="minorHAnsi"/>
    </w:rPr>
  </w:style>
  <w:style w:type="paragraph" w:styleId="TOC5">
    <w:name w:val="toc 5"/>
    <w:basedOn w:val="Normal"/>
    <w:next w:val="Normal"/>
    <w:uiPriority w:val="39"/>
    <w:unhideWhenUsed/>
    <w:qFormat/>
    <w:rsid w:val="003876BB"/>
    <w:pPr>
      <w:spacing w:after="0"/>
      <w:ind w:left="800"/>
    </w:pPr>
    <w:rPr>
      <w:rFonts w:cstheme="minorHAnsi"/>
    </w:rPr>
  </w:style>
  <w:style w:type="paragraph" w:styleId="TOC6">
    <w:name w:val="toc 6"/>
    <w:basedOn w:val="Normal"/>
    <w:next w:val="Normal"/>
    <w:uiPriority w:val="39"/>
    <w:unhideWhenUsed/>
    <w:qFormat/>
    <w:rsid w:val="003876BB"/>
    <w:pPr>
      <w:spacing w:after="0"/>
      <w:ind w:left="1000"/>
    </w:pPr>
    <w:rPr>
      <w:rFonts w:cstheme="minorHAnsi"/>
    </w:rPr>
  </w:style>
  <w:style w:type="paragraph" w:styleId="TOC7">
    <w:name w:val="toc 7"/>
    <w:basedOn w:val="Normal"/>
    <w:next w:val="Normal"/>
    <w:uiPriority w:val="39"/>
    <w:unhideWhenUsed/>
    <w:qFormat/>
    <w:rsid w:val="003876BB"/>
    <w:pPr>
      <w:spacing w:after="0"/>
      <w:ind w:left="1200"/>
    </w:pPr>
    <w:rPr>
      <w:rFonts w:cstheme="minorHAnsi"/>
    </w:rPr>
  </w:style>
  <w:style w:type="paragraph" w:styleId="TOC8">
    <w:name w:val="toc 8"/>
    <w:basedOn w:val="Normal"/>
    <w:next w:val="Normal"/>
    <w:uiPriority w:val="39"/>
    <w:unhideWhenUsed/>
    <w:qFormat/>
    <w:rsid w:val="003876BB"/>
    <w:pPr>
      <w:spacing w:after="0"/>
      <w:ind w:left="1400"/>
    </w:pPr>
    <w:rPr>
      <w:rFonts w:cstheme="minorHAnsi"/>
    </w:rPr>
  </w:style>
  <w:style w:type="paragraph" w:styleId="TOC9">
    <w:name w:val="toc 9"/>
    <w:basedOn w:val="Normal"/>
    <w:next w:val="Normal"/>
    <w:autoRedefine/>
    <w:uiPriority w:val="39"/>
    <w:unhideWhenUsed/>
    <w:rsid w:val="003876BB"/>
    <w:pPr>
      <w:spacing w:after="0"/>
      <w:ind w:left="1600"/>
    </w:pPr>
    <w:rPr>
      <w:rFonts w:cstheme="minorHAnsi"/>
    </w:rPr>
  </w:style>
  <w:style w:type="character" w:customStyle="1" w:styleId="Heading6Char">
    <w:name w:val="Heading 6 Char"/>
    <w:basedOn w:val="DefaultParagraphFont"/>
    <w:link w:val="Heading6"/>
    <w:uiPriority w:val="9"/>
    <w:semiHidden/>
    <w:rsid w:val="003876BB"/>
    <w:rPr>
      <w:rFonts w:eastAsiaTheme="majorEastAsia" w:cstheme="majorBidi"/>
      <w:i/>
      <w:color w:val="000000"/>
    </w:rPr>
  </w:style>
  <w:style w:type="character" w:customStyle="1" w:styleId="Heading7Char">
    <w:name w:val="Heading 7 Char"/>
    <w:basedOn w:val="DefaultParagraphFont"/>
    <w:link w:val="Heading7"/>
    <w:uiPriority w:val="9"/>
    <w:semiHidden/>
    <w:rsid w:val="003876BB"/>
    <w:rPr>
      <w:rFonts w:eastAsiaTheme="majorEastAsia" w:cstheme="majorBidi"/>
      <w:i/>
      <w:iCs/>
      <w:color w:val="7F7F7F" w:themeColor="text1" w:themeTint="80"/>
    </w:rPr>
  </w:style>
  <w:style w:type="character" w:customStyle="1" w:styleId="Heading8Char">
    <w:name w:val="Heading 8 Char"/>
    <w:basedOn w:val="DefaultParagraphFont"/>
    <w:link w:val="Heading8"/>
    <w:uiPriority w:val="9"/>
    <w:semiHidden/>
    <w:rsid w:val="003876BB"/>
    <w:rPr>
      <w:rFonts w:eastAsiaTheme="majorEastAsia" w:cstheme="majorBidi"/>
      <w:i/>
      <w:color w:val="A6A6A6" w:themeColor="background1" w:themeShade="A6"/>
      <w:sz w:val="21"/>
      <w:szCs w:val="21"/>
    </w:rPr>
  </w:style>
  <w:style w:type="character" w:customStyle="1" w:styleId="Heading9Char">
    <w:name w:val="Heading 9 Char"/>
    <w:basedOn w:val="DefaultParagraphFont"/>
    <w:link w:val="Heading9"/>
    <w:uiPriority w:val="9"/>
    <w:semiHidden/>
    <w:rsid w:val="003876BB"/>
    <w:rPr>
      <w:rFonts w:eastAsiaTheme="majorEastAsia" w:cstheme="majorBidi"/>
      <w:i/>
      <w:iCs/>
      <w:color w:val="BFBFBF" w:themeColor="background1" w:themeShade="BF"/>
      <w:szCs w:val="21"/>
    </w:rPr>
  </w:style>
  <w:style w:type="character" w:styleId="Strong">
    <w:name w:val="Strong"/>
    <w:basedOn w:val="DefaultParagraphFont"/>
    <w:uiPriority w:val="22"/>
    <w:qFormat/>
    <w:rsid w:val="003876BB"/>
    <w:rPr>
      <w:rFonts w:ascii="Arial" w:hAnsi="Arial"/>
      <w:b/>
      <w:bCs/>
      <w:sz w:val="20"/>
      <w:u w:val="single"/>
    </w:rPr>
  </w:style>
  <w:style w:type="paragraph" w:styleId="BalloonText">
    <w:name w:val="Balloon Text"/>
    <w:basedOn w:val="Normal"/>
    <w:link w:val="BalloonTextChar"/>
    <w:uiPriority w:val="99"/>
    <w:semiHidden/>
    <w:unhideWhenUsed/>
    <w:rsid w:val="003876BB"/>
    <w:pPr>
      <w:spacing w:after="0" w:line="240" w:lineRule="auto"/>
    </w:pPr>
    <w:rPr>
      <w:rFonts w:cs="Times New Roman"/>
      <w:b/>
      <w:color w:val="7F7F7F" w:themeColor="text1" w:themeTint="80"/>
      <w:sz w:val="18"/>
      <w:szCs w:val="18"/>
    </w:rPr>
  </w:style>
  <w:style w:type="character" w:customStyle="1" w:styleId="BalloonTextChar">
    <w:name w:val="Balloon Text Char"/>
    <w:basedOn w:val="DefaultParagraphFont"/>
    <w:link w:val="BalloonText"/>
    <w:uiPriority w:val="99"/>
    <w:semiHidden/>
    <w:rsid w:val="003876BB"/>
    <w:rPr>
      <w:rFonts w:cs="Times New Roman"/>
      <w:b/>
      <w:color w:val="7F7F7F" w:themeColor="text1" w:themeTint="80"/>
      <w:sz w:val="18"/>
      <w:szCs w:val="18"/>
    </w:rPr>
  </w:style>
  <w:style w:type="paragraph" w:styleId="BlockText">
    <w:name w:val="Block Text"/>
    <w:basedOn w:val="Normal"/>
    <w:uiPriority w:val="99"/>
    <w:unhideWhenUsed/>
    <w:qFormat/>
    <w:rsid w:val="003876BB"/>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rFonts w:eastAsiaTheme="minorEastAsia"/>
      <w:iCs/>
      <w:color w:val="000000" w:themeColor="text1"/>
    </w:rPr>
  </w:style>
  <w:style w:type="paragraph" w:customStyle="1" w:styleId="CopyrightStatement">
    <w:name w:val="Copyright Statement"/>
    <w:basedOn w:val="Normal"/>
    <w:uiPriority w:val="99"/>
    <w:qFormat/>
    <w:rsid w:val="003876BB"/>
    <w:pPr>
      <w:autoSpaceDE w:val="0"/>
      <w:autoSpaceDN w:val="0"/>
      <w:adjustRightInd w:val="0"/>
      <w:spacing w:line="160" w:lineRule="atLeast"/>
      <w:textAlignment w:val="center"/>
    </w:pPr>
    <w:rPr>
      <w:rFonts w:eastAsia="Times New Roman"/>
      <w:bCs/>
      <w:color w:val="000000"/>
      <w:sz w:val="16"/>
      <w:szCs w:val="16"/>
    </w:rPr>
  </w:style>
  <w:style w:type="numbering" w:customStyle="1" w:styleId="StyleOutlinenumberedSymbolsymbolLeft0Hanging0153">
    <w:name w:val="Style Outline numbered Symbol (symbol) Left:  0&quot; Hanging:  0.15&quot;3"/>
    <w:basedOn w:val="NoList"/>
    <w:rsid w:val="003876BB"/>
    <w:pPr>
      <w:numPr>
        <w:numId w:val="9"/>
      </w:numPr>
    </w:pPr>
  </w:style>
  <w:style w:type="table" w:styleId="TableGrid">
    <w:name w:val="Table Grid"/>
    <w:aliases w:val="Table Total Row"/>
    <w:basedOn w:val="TableNormal"/>
    <w:uiPriority w:val="59"/>
    <w:rsid w:val="003876BB"/>
    <w:rPr>
      <w:rFonts w:cstheme="minorBidi"/>
      <w:color w:val="000000" w:themeColor="text1"/>
      <w:szCs w:val="22"/>
    </w:rPr>
    <w:tblPr>
      <w:tblInd w:w="72" w:type="dxa"/>
      <w:tblBorders>
        <w:top w:val="single" w:sz="4" w:space="0" w:color="000000" w:themeColor="text1"/>
        <w:bottom w:val="single" w:sz="4" w:space="0" w:color="000000" w:themeColor="text1"/>
        <w:insideH w:val="single" w:sz="4" w:space="0" w:color="000000" w:themeColor="text1"/>
      </w:tblBorders>
      <w:tblCellMar>
        <w:top w:w="72" w:type="dxa"/>
        <w:left w:w="72" w:type="dxa"/>
        <w:bottom w:w="72" w:type="dxa"/>
        <w:right w:w="72" w:type="dxa"/>
      </w:tblCellMar>
    </w:tblPr>
    <w:tblStylePr w:type="firstRow">
      <w:pPr>
        <w:wordWrap/>
        <w:spacing w:beforeLines="0" w:before="0" w:beforeAutospacing="0" w:afterLines="0" w:after="0" w:afterAutospacing="0" w:line="240" w:lineRule="auto"/>
        <w:jc w:val="left"/>
      </w:pPr>
      <w:rPr>
        <w:rFonts w:ascii="Arial" w:hAnsi="Arial"/>
        <w:b/>
        <w:bCs/>
        <w:i w:val="0"/>
        <w:iCs w:val="0"/>
        <w:color w:val="000000" w:themeColor="text1"/>
        <w:sz w:val="20"/>
      </w:rPr>
      <w:tblPr/>
      <w:tcPr>
        <w:tcBorders>
          <w:top w:val="nil"/>
        </w:tcBorders>
      </w:tcPr>
    </w:tblStylePr>
    <w:tblStylePr w:type="lastRow">
      <w:rPr>
        <w:rFonts w:ascii="Arial" w:hAnsi="Arial"/>
        <w:b/>
        <w:color w:val="FFFFFF" w:themeColor="background1"/>
        <w:sz w:val="20"/>
      </w:rPr>
      <w:tblPr/>
      <w:tcPr>
        <w:shd w:val="clear" w:color="auto" w:fill="000000" w:themeFill="text1"/>
      </w:tcPr>
    </w:tblStylePr>
  </w:style>
  <w:style w:type="paragraph" w:customStyle="1" w:styleId="LetteredList">
    <w:name w:val="Lettered List"/>
    <w:basedOn w:val="Normal"/>
    <w:qFormat/>
    <w:rsid w:val="003876BB"/>
    <w:pPr>
      <w:numPr>
        <w:ilvl w:val="1"/>
        <w:numId w:val="3"/>
      </w:numPr>
      <w:spacing w:after="60"/>
      <w:contextualSpacing/>
    </w:pPr>
  </w:style>
  <w:style w:type="numbering" w:customStyle="1" w:styleId="Bullets">
    <w:name w:val="Bullets"/>
    <w:basedOn w:val="NoList"/>
    <w:uiPriority w:val="99"/>
    <w:rsid w:val="003876BB"/>
    <w:pPr>
      <w:numPr>
        <w:numId w:val="4"/>
      </w:numPr>
    </w:pPr>
  </w:style>
  <w:style w:type="numbering" w:customStyle="1" w:styleId="StyleOutlinenumberedSymbolsymbolLeft0Hanging015">
    <w:name w:val="Style Outline numbered Symbol (symbol) Left:  0&quot; Hanging:  0.15&quot;"/>
    <w:basedOn w:val="NoList"/>
    <w:rsid w:val="003876BB"/>
    <w:pPr>
      <w:numPr>
        <w:numId w:val="5"/>
      </w:numPr>
    </w:pPr>
  </w:style>
  <w:style w:type="numbering" w:customStyle="1" w:styleId="StyleOutlinenumberedSymbolsymbolLeft0Hanging0151">
    <w:name w:val="Style Outline numbered Symbol (symbol) Left:  0&quot; Hanging:  0.15&quot;1"/>
    <w:basedOn w:val="NoList"/>
    <w:rsid w:val="003876BB"/>
    <w:pPr>
      <w:numPr>
        <w:numId w:val="6"/>
      </w:numPr>
    </w:pPr>
  </w:style>
  <w:style w:type="numbering" w:customStyle="1" w:styleId="StyleOutlinenumberedSymbolsymbolLeft0Hanging0152">
    <w:name w:val="Style Outline numbered Symbol (symbol) Left:  0&quot; Hanging:  0.15&quot;2"/>
    <w:basedOn w:val="NoList"/>
    <w:rsid w:val="003876BB"/>
    <w:pPr>
      <w:numPr>
        <w:numId w:val="7"/>
      </w:numPr>
    </w:pPr>
  </w:style>
  <w:style w:type="numbering" w:customStyle="1" w:styleId="Style2">
    <w:name w:val="Style2"/>
    <w:basedOn w:val="NoList"/>
    <w:uiPriority w:val="99"/>
    <w:rsid w:val="003876BB"/>
    <w:pPr>
      <w:numPr>
        <w:numId w:val="8"/>
      </w:numPr>
    </w:pPr>
  </w:style>
  <w:style w:type="paragraph" w:customStyle="1" w:styleId="QuoteAttribution">
    <w:name w:val="Quote Attribution"/>
    <w:basedOn w:val="Normal"/>
    <w:qFormat/>
    <w:rsid w:val="003876BB"/>
    <w:pPr>
      <w:spacing w:before="360" w:after="360"/>
      <w:ind w:right="90"/>
    </w:pPr>
    <w:rPr>
      <w:iCs/>
      <w:color w:val="7F7F7F" w:themeColor="text1" w:themeTint="80"/>
    </w:rPr>
  </w:style>
  <w:style w:type="paragraph" w:customStyle="1" w:styleId="NumberedList">
    <w:name w:val="Numbered List"/>
    <w:basedOn w:val="ListParagraph"/>
    <w:uiPriority w:val="9"/>
    <w:qFormat/>
    <w:rsid w:val="003876BB"/>
    <w:pPr>
      <w:numPr>
        <w:numId w:val="18"/>
      </w:numPr>
      <w:spacing w:after="0"/>
      <w:contextualSpacing w:val="0"/>
    </w:pPr>
  </w:style>
  <w:style w:type="paragraph" w:customStyle="1" w:styleId="TableCaption">
    <w:name w:val="Table Caption"/>
    <w:basedOn w:val="Normal"/>
    <w:next w:val="Normal"/>
    <w:uiPriority w:val="9"/>
    <w:qFormat/>
    <w:rsid w:val="003876BB"/>
    <w:rPr>
      <w:b/>
      <w:bCs/>
      <w:sz w:val="16"/>
      <w:szCs w:val="16"/>
    </w:rPr>
  </w:style>
  <w:style w:type="character" w:styleId="UnresolvedMention">
    <w:name w:val="Unresolved Mention"/>
    <w:basedOn w:val="DefaultParagraphFont"/>
    <w:uiPriority w:val="99"/>
    <w:qFormat/>
    <w:rsid w:val="003876BB"/>
    <w:rPr>
      <w:color w:val="605E5C"/>
      <w:shd w:val="clear" w:color="auto" w:fill="E1DFDD"/>
    </w:rPr>
  </w:style>
  <w:style w:type="paragraph" w:styleId="NormalWeb">
    <w:name w:val="Normal (Web)"/>
    <w:basedOn w:val="Normal"/>
    <w:uiPriority w:val="99"/>
    <w:semiHidden/>
    <w:unhideWhenUsed/>
    <w:rsid w:val="003876BB"/>
    <w:rPr>
      <w:rFonts w:ascii="Times New Roman" w:hAnsi="Times New Roman" w:cs="Times New Roman"/>
    </w:rPr>
  </w:style>
  <w:style w:type="paragraph" w:customStyle="1" w:styleId="Tablecontent">
    <w:name w:val="Table content"/>
    <w:basedOn w:val="Normal"/>
    <w:qFormat/>
    <w:rsid w:val="003876BB"/>
    <w:pPr>
      <w:spacing w:after="0" w:line="240" w:lineRule="auto"/>
    </w:pPr>
    <w:rPr>
      <w:rFonts w:eastAsia="Times New Roman" w:cs="Times New Roman"/>
      <w:color w:val="000000" w:themeColor="text1"/>
    </w:rPr>
  </w:style>
  <w:style w:type="paragraph" w:customStyle="1" w:styleId="TableHeaders">
    <w:name w:val="Table Headers"/>
    <w:rsid w:val="003876BB"/>
    <w:rPr>
      <w:rFonts w:cstheme="minorBidi"/>
      <w:b/>
      <w:bCs/>
      <w:color w:val="FFFFFF" w:themeColor="background1"/>
      <w:szCs w:val="22"/>
    </w:rPr>
  </w:style>
  <w:style w:type="table" w:customStyle="1" w:styleId="Style3">
    <w:name w:val="Style3"/>
    <w:basedOn w:val="TableNormal"/>
    <w:uiPriority w:val="99"/>
    <w:rsid w:val="003876BB"/>
    <w:rPr>
      <w:color w:val="000000" w:themeColor="text1"/>
    </w:rPr>
    <w:tblPr>
      <w:tblBorders>
        <w:bottom w:val="single" w:sz="4" w:space="0" w:color="000000" w:themeColor="text1"/>
        <w:insideH w:val="single" w:sz="4" w:space="0" w:color="000000" w:themeColor="text1"/>
      </w:tblBorders>
      <w:tblCellMar>
        <w:top w:w="115" w:type="dxa"/>
        <w:left w:w="115" w:type="dxa"/>
        <w:bottom w:w="115" w:type="dxa"/>
        <w:right w:w="115" w:type="dxa"/>
      </w:tblCellMar>
    </w:tblPr>
    <w:tcPr>
      <w:shd w:val="clear" w:color="auto" w:fill="auto"/>
    </w:tcPr>
    <w:tblStylePr w:type="firstRow">
      <w:rPr>
        <w:rFonts w:ascii="Arial" w:hAnsi="Arial"/>
        <w:b/>
        <w:color w:val="FFFFFF" w:themeColor="background1"/>
        <w:sz w:val="20"/>
      </w:rPr>
      <w:tblPr/>
      <w:tcPr>
        <w:shd w:val="clear" w:color="auto" w:fill="000000" w:themeFill="text1"/>
      </w:tcPr>
    </w:tblStylePr>
  </w:style>
  <w:style w:type="paragraph" w:customStyle="1" w:styleId="Tableheaders2">
    <w:name w:val="Table headers 2"/>
    <w:basedOn w:val="TableHeaders"/>
    <w:qFormat/>
    <w:rsid w:val="003876BB"/>
  </w:style>
  <w:style w:type="paragraph" w:customStyle="1" w:styleId="TableTotalRowcontent">
    <w:name w:val="Table Total Row content"/>
    <w:basedOn w:val="Tablecontent"/>
    <w:qFormat/>
    <w:rsid w:val="003876BB"/>
    <w:rPr>
      <w:b/>
      <w:color w:val="FFFFFF" w:themeColor="background1"/>
    </w:rPr>
  </w:style>
  <w:style w:type="character" w:customStyle="1" w:styleId="Texttoremove">
    <w:name w:val="Text to remove"/>
    <w:basedOn w:val="DefaultParagraphFont"/>
    <w:uiPriority w:val="1"/>
    <w:qFormat/>
    <w:rsid w:val="003876BB"/>
    <w:rPr>
      <w:rFonts w:ascii="Arial" w:hAnsi="Arial"/>
      <w:bCs/>
      <w:i/>
      <w:color w:val="E8209D" w:themeColor="accent3"/>
      <w:sz w:val="20"/>
    </w:rPr>
  </w:style>
  <w:style w:type="table" w:customStyle="1" w:styleId="TableHeaderandFooter">
    <w:name w:val="Table Header and Footer"/>
    <w:basedOn w:val="TableNormal"/>
    <w:uiPriority w:val="99"/>
    <w:rsid w:val="003876BB"/>
    <w:rPr>
      <w:color w:val="000000" w:themeColor="text1"/>
      <w:sz w:val="16"/>
    </w:rPr>
    <w:tblPr/>
    <w:tcPr>
      <w:shd w:val="clear" w:color="auto" w:fill="auto"/>
    </w:tcPr>
  </w:style>
  <w:style w:type="paragraph" w:customStyle="1" w:styleId="ListParagraphSecondLevel">
    <w:name w:val="List Paragraph Second Level"/>
    <w:basedOn w:val="ListParagraph"/>
    <w:qFormat/>
    <w:rsid w:val="003876BB"/>
    <w:pPr>
      <w:numPr>
        <w:ilvl w:val="1"/>
      </w:numPr>
      <w:ind w:left="432"/>
    </w:pPr>
  </w:style>
  <w:style w:type="numbering" w:customStyle="1" w:styleId="StyleOutlinenumbered11ptLeft0Hanging025">
    <w:name w:val="Style Outline numbered 11 pt Left:  0&quot; Hanging:  0.25&quot;"/>
    <w:basedOn w:val="NoList"/>
    <w:rsid w:val="003876BB"/>
    <w:pPr>
      <w:numPr>
        <w:numId w:val="14"/>
      </w:numPr>
    </w:pPr>
  </w:style>
  <w:style w:type="paragraph" w:customStyle="1" w:styleId="NumberedListSecondLevel">
    <w:name w:val="Numbered List Second Level"/>
    <w:basedOn w:val="NumberedList"/>
    <w:qFormat/>
    <w:rsid w:val="003876BB"/>
    <w:pPr>
      <w:numPr>
        <w:ilvl w:val="1"/>
      </w:numPr>
      <w:ind w:left="720"/>
    </w:pPr>
  </w:style>
  <w:style w:type="paragraph" w:customStyle="1" w:styleId="NumberedListThirdLevel">
    <w:name w:val="Numbered List Third Level"/>
    <w:basedOn w:val="NumberedListSecondLevel"/>
    <w:qFormat/>
    <w:rsid w:val="003876BB"/>
    <w:pPr>
      <w:numPr>
        <w:ilvl w:val="2"/>
      </w:numPr>
      <w:ind w:left="1080"/>
    </w:pPr>
  </w:style>
  <w:style w:type="paragraph" w:customStyle="1" w:styleId="IntenseQuote01">
    <w:name w:val="Intense Quote 01"/>
    <w:qFormat/>
    <w:rsid w:val="003876BB"/>
    <w:pPr>
      <w:spacing w:before="360" w:after="360"/>
    </w:pPr>
    <w:rPr>
      <w:iCs/>
      <w:color w:val="7F7F7F" w:themeColor="text1" w:themeTint="80"/>
      <w:sz w:val="28"/>
    </w:rPr>
  </w:style>
  <w:style w:type="paragraph" w:customStyle="1" w:styleId="StyleTableHeadersWhite">
    <w:name w:val="Style Table Headers White"/>
    <w:basedOn w:val="TableHeaders"/>
    <w:qFormat/>
    <w:rsid w:val="003876BB"/>
  </w:style>
  <w:style w:type="paragraph" w:customStyle="1" w:styleId="TableListParagraph">
    <w:name w:val="Table List Paragraph"/>
    <w:basedOn w:val="ListParagraph"/>
    <w:qFormat/>
    <w:rsid w:val="003876BB"/>
    <w:rPr>
      <w:color w:val="000000" w:themeColor="text1"/>
    </w:rPr>
  </w:style>
  <w:style w:type="paragraph" w:customStyle="1" w:styleId="TableNumberedList">
    <w:name w:val="Table Numbered List"/>
    <w:basedOn w:val="NumberedList"/>
    <w:qFormat/>
    <w:rsid w:val="003876BB"/>
    <w:pPr>
      <w:numPr>
        <w:numId w:val="0"/>
      </w:numPr>
      <w:ind w:left="357" w:hanging="357"/>
    </w:pPr>
    <w:rPr>
      <w:color w:val="000000" w:themeColor="text1"/>
    </w:rPr>
  </w:style>
  <w:style w:type="character" w:styleId="PageNumber">
    <w:name w:val="page number"/>
    <w:basedOn w:val="DefaultParagraphFont"/>
    <w:uiPriority w:val="99"/>
    <w:semiHidden/>
    <w:unhideWhenUsed/>
    <w:rsid w:val="003876BB"/>
  </w:style>
  <w:style w:type="paragraph" w:customStyle="1" w:styleId="Tableheader">
    <w:name w:val="Table header"/>
    <w:basedOn w:val="Normal"/>
    <w:autoRedefine/>
    <w:qFormat/>
    <w:rsid w:val="00514AEE"/>
    <w:rPr>
      <w:b/>
      <w:bCs/>
      <w:color w:val="000000" w:themeColor="text1"/>
    </w:rPr>
  </w:style>
  <w:style w:type="paragraph" w:customStyle="1" w:styleId="BuckFooter">
    <w:name w:val="Buck Footer"/>
    <w:qFormat/>
    <w:rsid w:val="000655DD"/>
    <w:rPr>
      <w:rFonts w:asciiTheme="minorHAnsi" w:hAnsiTheme="minorHAnsi" w:cstheme="minorHAnsi"/>
      <w:bCs/>
      <w:color w:val="000000"/>
      <w:sz w:val="16"/>
      <w:szCs w:val="16"/>
    </w:rPr>
  </w:style>
  <w:style w:type="character" w:styleId="SubtleEmphasis">
    <w:name w:val="Subtle Emphasis"/>
    <w:basedOn w:val="Emphasis"/>
    <w:uiPriority w:val="19"/>
    <w:rsid w:val="000655DD"/>
    <w:rPr>
      <w:rFonts w:ascii="Arial" w:hAnsi="Arial"/>
      <w:b w:val="0"/>
      <w:i/>
      <w:sz w:val="20"/>
      <w:u w:val="none"/>
    </w:rPr>
  </w:style>
  <w:style w:type="character" w:styleId="IntenseEmphasis">
    <w:name w:val="Intense Emphasis"/>
    <w:uiPriority w:val="21"/>
    <w:qFormat/>
    <w:rsid w:val="000655DD"/>
    <w:rPr>
      <w:rFonts w:ascii="Arial" w:hAnsi="Arial"/>
      <w:b/>
      <w:i/>
      <w:sz w:val="20"/>
      <w:u w:val="none"/>
    </w:rPr>
  </w:style>
  <w:style w:type="character" w:styleId="IntenseReference">
    <w:name w:val="Intense Reference"/>
    <w:basedOn w:val="DefaultParagraphFont"/>
    <w:uiPriority w:val="32"/>
    <w:qFormat/>
    <w:rsid w:val="000655DD"/>
    <w:rPr>
      <w:rFonts w:ascii="Arial" w:hAnsi="Arial"/>
      <w:b/>
      <w:bCs/>
      <w:i w:val="0"/>
      <w:caps w:val="0"/>
      <w:smallCaps w:val="0"/>
      <w:color w:val="000000"/>
      <w:spacing w:val="5"/>
      <w:sz w:val="20"/>
    </w:rPr>
  </w:style>
  <w:style w:type="paragraph" w:styleId="TOCHeading">
    <w:name w:val="TOC Heading"/>
    <w:basedOn w:val="Heading1"/>
    <w:next w:val="Normal"/>
    <w:uiPriority w:val="39"/>
    <w:unhideWhenUsed/>
    <w:qFormat/>
    <w:rsid w:val="000655DD"/>
    <w:pPr>
      <w:outlineLvl w:val="9"/>
    </w:pPr>
    <w:rPr>
      <w:rFonts w:eastAsiaTheme="majorEastAsia"/>
      <w:color w:val="000000" w:themeColor="text1"/>
    </w:rPr>
  </w:style>
  <w:style w:type="character" w:styleId="BookTitle">
    <w:name w:val="Book Title"/>
    <w:basedOn w:val="DefaultParagraphFont"/>
    <w:uiPriority w:val="33"/>
    <w:qFormat/>
    <w:rsid w:val="000655DD"/>
    <w:rPr>
      <w:rFonts w:ascii="Arial" w:hAnsi="Arial"/>
      <w:b w:val="0"/>
      <w:bCs/>
      <w:i/>
      <w:iCs/>
      <w:spacing w:val="5"/>
      <w:sz w:val="20"/>
    </w:rPr>
  </w:style>
  <w:style w:type="paragraph" w:styleId="NoSpacing">
    <w:name w:val="No Spacing"/>
    <w:link w:val="NoSpacingChar"/>
    <w:uiPriority w:val="1"/>
    <w:qFormat/>
    <w:rsid w:val="00065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655DD"/>
    <w:rPr>
      <w:rFonts w:asciiTheme="minorHAnsi" w:eastAsiaTheme="minorEastAsia" w:hAnsiTheme="minorHAnsi" w:cstheme="minorBidi"/>
      <w:sz w:val="22"/>
      <w:szCs w:val="22"/>
    </w:rPr>
  </w:style>
  <w:style w:type="paragraph" w:customStyle="1" w:styleId="TableTextNoSpace">
    <w:name w:val="Table Text No Space"/>
    <w:basedOn w:val="Normal"/>
    <w:uiPriority w:val="9"/>
    <w:qFormat/>
    <w:rsid w:val="000655DD"/>
    <w:pPr>
      <w:spacing w:after="0"/>
    </w:pPr>
  </w:style>
  <w:style w:type="character" w:styleId="CommentReference">
    <w:name w:val="annotation reference"/>
    <w:basedOn w:val="DefaultParagraphFont"/>
    <w:uiPriority w:val="99"/>
    <w:semiHidden/>
    <w:unhideWhenUsed/>
    <w:rsid w:val="004357BE"/>
    <w:rPr>
      <w:sz w:val="16"/>
      <w:szCs w:val="16"/>
    </w:rPr>
  </w:style>
  <w:style w:type="paragraph" w:styleId="CommentText">
    <w:name w:val="annotation text"/>
    <w:basedOn w:val="Normal"/>
    <w:link w:val="CommentTextChar"/>
    <w:uiPriority w:val="99"/>
    <w:unhideWhenUsed/>
    <w:rsid w:val="004357BE"/>
    <w:pPr>
      <w:spacing w:line="240" w:lineRule="auto"/>
    </w:pPr>
    <w:rPr>
      <w:szCs w:val="20"/>
    </w:rPr>
  </w:style>
  <w:style w:type="character" w:customStyle="1" w:styleId="CommentTextChar">
    <w:name w:val="Comment Text Char"/>
    <w:basedOn w:val="DefaultParagraphFont"/>
    <w:link w:val="CommentText"/>
    <w:uiPriority w:val="99"/>
    <w:rsid w:val="004357BE"/>
    <w:rPr>
      <w:rFonts w:asciiTheme="minorHAnsi" w:hAnsiTheme="minorHAnsi" w:cstheme="minorBidi"/>
      <w:sz w:val="22"/>
      <w:lang w:val="en-GB"/>
    </w:rPr>
  </w:style>
  <w:style w:type="paragraph" w:styleId="CommentSubject">
    <w:name w:val="annotation subject"/>
    <w:basedOn w:val="CommentText"/>
    <w:next w:val="CommentText"/>
    <w:link w:val="CommentSubjectChar"/>
    <w:uiPriority w:val="99"/>
    <w:semiHidden/>
    <w:unhideWhenUsed/>
    <w:rsid w:val="006831EB"/>
    <w:rPr>
      <w:b/>
      <w:bCs/>
      <w:sz w:val="20"/>
    </w:rPr>
  </w:style>
  <w:style w:type="character" w:customStyle="1" w:styleId="CommentSubjectChar">
    <w:name w:val="Comment Subject Char"/>
    <w:basedOn w:val="CommentTextChar"/>
    <w:link w:val="CommentSubject"/>
    <w:uiPriority w:val="99"/>
    <w:semiHidden/>
    <w:rsid w:val="006831EB"/>
    <w:rPr>
      <w:rFonts w:asciiTheme="minorHAnsi" w:hAnsiTheme="minorHAnsi" w:cstheme="minorBidi"/>
      <w:b/>
      <w:bCs/>
      <w:sz w:val="22"/>
      <w:lang w:val="en-GB"/>
    </w:rPr>
  </w:style>
  <w:style w:type="paragraph" w:styleId="Revision">
    <w:name w:val="Revision"/>
    <w:hidden/>
    <w:uiPriority w:val="99"/>
    <w:semiHidden/>
    <w:rsid w:val="004479CD"/>
    <w:rPr>
      <w:rFonts w:asciiTheme="minorHAnsi" w:hAnsiTheme="minorHAnsi" w:cstheme="minorBidi"/>
      <w:sz w:val="22"/>
      <w:szCs w:val="22"/>
      <w:lang w:val="en-GB"/>
    </w:rPr>
  </w:style>
  <w:style w:type="character" w:styleId="FollowedHyperlink">
    <w:name w:val="FollowedHyperlink"/>
    <w:basedOn w:val="DefaultParagraphFont"/>
    <w:uiPriority w:val="99"/>
    <w:semiHidden/>
    <w:unhideWhenUsed/>
    <w:rsid w:val="00FE5D2D"/>
    <w:rPr>
      <w:color w:val="000000" w:themeColor="followedHyperlink"/>
      <w:u w:val="single"/>
    </w:rPr>
  </w:style>
  <w:style w:type="paragraph" w:customStyle="1" w:styleId="Default">
    <w:name w:val="Default"/>
    <w:rsid w:val="00F044E6"/>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9733">
      <w:bodyDiv w:val="1"/>
      <w:marLeft w:val="0"/>
      <w:marRight w:val="0"/>
      <w:marTop w:val="0"/>
      <w:marBottom w:val="0"/>
      <w:divBdr>
        <w:top w:val="none" w:sz="0" w:space="0" w:color="auto"/>
        <w:left w:val="none" w:sz="0" w:space="0" w:color="auto"/>
        <w:bottom w:val="none" w:sz="0" w:space="0" w:color="auto"/>
        <w:right w:val="none" w:sz="0" w:space="0" w:color="auto"/>
      </w:divBdr>
      <w:divsChild>
        <w:div w:id="79571324">
          <w:marLeft w:val="922"/>
          <w:marRight w:val="0"/>
          <w:marTop w:val="0"/>
          <w:marBottom w:val="0"/>
          <w:divBdr>
            <w:top w:val="none" w:sz="0" w:space="0" w:color="auto"/>
            <w:left w:val="none" w:sz="0" w:space="0" w:color="auto"/>
            <w:bottom w:val="none" w:sz="0" w:space="0" w:color="auto"/>
            <w:right w:val="none" w:sz="0" w:space="0" w:color="auto"/>
          </w:divBdr>
        </w:div>
        <w:div w:id="1846629350">
          <w:marLeft w:val="922"/>
          <w:marRight w:val="0"/>
          <w:marTop w:val="0"/>
          <w:marBottom w:val="0"/>
          <w:divBdr>
            <w:top w:val="none" w:sz="0" w:space="0" w:color="auto"/>
            <w:left w:val="none" w:sz="0" w:space="0" w:color="auto"/>
            <w:bottom w:val="none" w:sz="0" w:space="0" w:color="auto"/>
            <w:right w:val="none" w:sz="0" w:space="0" w:color="auto"/>
          </w:divBdr>
        </w:div>
        <w:div w:id="2018193288">
          <w:marLeft w:val="922"/>
          <w:marRight w:val="0"/>
          <w:marTop w:val="0"/>
          <w:marBottom w:val="0"/>
          <w:divBdr>
            <w:top w:val="none" w:sz="0" w:space="0" w:color="auto"/>
            <w:left w:val="none" w:sz="0" w:space="0" w:color="auto"/>
            <w:bottom w:val="none" w:sz="0" w:space="0" w:color="auto"/>
            <w:right w:val="none" w:sz="0" w:space="0" w:color="auto"/>
          </w:divBdr>
        </w:div>
        <w:div w:id="969629294">
          <w:marLeft w:val="922"/>
          <w:marRight w:val="0"/>
          <w:marTop w:val="0"/>
          <w:marBottom w:val="0"/>
          <w:divBdr>
            <w:top w:val="none" w:sz="0" w:space="0" w:color="auto"/>
            <w:left w:val="none" w:sz="0" w:space="0" w:color="auto"/>
            <w:bottom w:val="none" w:sz="0" w:space="0" w:color="auto"/>
            <w:right w:val="none" w:sz="0" w:space="0" w:color="auto"/>
          </w:divBdr>
        </w:div>
        <w:div w:id="1283145804">
          <w:marLeft w:val="922"/>
          <w:marRight w:val="0"/>
          <w:marTop w:val="0"/>
          <w:marBottom w:val="0"/>
          <w:divBdr>
            <w:top w:val="none" w:sz="0" w:space="0" w:color="auto"/>
            <w:left w:val="none" w:sz="0" w:space="0" w:color="auto"/>
            <w:bottom w:val="none" w:sz="0" w:space="0" w:color="auto"/>
            <w:right w:val="none" w:sz="0" w:space="0" w:color="auto"/>
          </w:divBdr>
        </w:div>
        <w:div w:id="1374427891">
          <w:marLeft w:val="922"/>
          <w:marRight w:val="0"/>
          <w:marTop w:val="0"/>
          <w:marBottom w:val="0"/>
          <w:divBdr>
            <w:top w:val="none" w:sz="0" w:space="0" w:color="auto"/>
            <w:left w:val="none" w:sz="0" w:space="0" w:color="auto"/>
            <w:bottom w:val="none" w:sz="0" w:space="0" w:color="auto"/>
            <w:right w:val="none" w:sz="0" w:space="0" w:color="auto"/>
          </w:divBdr>
        </w:div>
        <w:div w:id="78523740">
          <w:marLeft w:val="922"/>
          <w:marRight w:val="0"/>
          <w:marTop w:val="0"/>
          <w:marBottom w:val="0"/>
          <w:divBdr>
            <w:top w:val="none" w:sz="0" w:space="0" w:color="auto"/>
            <w:left w:val="none" w:sz="0" w:space="0" w:color="auto"/>
            <w:bottom w:val="none" w:sz="0" w:space="0" w:color="auto"/>
            <w:right w:val="none" w:sz="0" w:space="0" w:color="auto"/>
          </w:divBdr>
        </w:div>
        <w:div w:id="1158838654">
          <w:marLeft w:val="922"/>
          <w:marRight w:val="0"/>
          <w:marTop w:val="0"/>
          <w:marBottom w:val="0"/>
          <w:divBdr>
            <w:top w:val="none" w:sz="0" w:space="0" w:color="auto"/>
            <w:left w:val="none" w:sz="0" w:space="0" w:color="auto"/>
            <w:bottom w:val="none" w:sz="0" w:space="0" w:color="auto"/>
            <w:right w:val="none" w:sz="0" w:space="0" w:color="auto"/>
          </w:divBdr>
        </w:div>
      </w:divsChild>
    </w:div>
    <w:div w:id="536888803">
      <w:bodyDiv w:val="1"/>
      <w:marLeft w:val="0"/>
      <w:marRight w:val="0"/>
      <w:marTop w:val="0"/>
      <w:marBottom w:val="0"/>
      <w:divBdr>
        <w:top w:val="none" w:sz="0" w:space="0" w:color="auto"/>
        <w:left w:val="none" w:sz="0" w:space="0" w:color="auto"/>
        <w:bottom w:val="none" w:sz="0" w:space="0" w:color="auto"/>
        <w:right w:val="none" w:sz="0" w:space="0" w:color="auto"/>
      </w:divBdr>
    </w:div>
    <w:div w:id="552009771">
      <w:bodyDiv w:val="1"/>
      <w:marLeft w:val="0"/>
      <w:marRight w:val="0"/>
      <w:marTop w:val="0"/>
      <w:marBottom w:val="0"/>
      <w:divBdr>
        <w:top w:val="none" w:sz="0" w:space="0" w:color="auto"/>
        <w:left w:val="none" w:sz="0" w:space="0" w:color="auto"/>
        <w:bottom w:val="none" w:sz="0" w:space="0" w:color="auto"/>
        <w:right w:val="none" w:sz="0" w:space="0" w:color="auto"/>
      </w:divBdr>
    </w:div>
    <w:div w:id="764617666">
      <w:bodyDiv w:val="1"/>
      <w:marLeft w:val="0"/>
      <w:marRight w:val="0"/>
      <w:marTop w:val="0"/>
      <w:marBottom w:val="0"/>
      <w:divBdr>
        <w:top w:val="none" w:sz="0" w:space="0" w:color="auto"/>
        <w:left w:val="none" w:sz="0" w:space="0" w:color="auto"/>
        <w:bottom w:val="none" w:sz="0" w:space="0" w:color="auto"/>
        <w:right w:val="none" w:sz="0" w:space="0" w:color="auto"/>
      </w:divBdr>
    </w:div>
    <w:div w:id="777212145">
      <w:bodyDiv w:val="1"/>
      <w:marLeft w:val="0"/>
      <w:marRight w:val="0"/>
      <w:marTop w:val="0"/>
      <w:marBottom w:val="0"/>
      <w:divBdr>
        <w:top w:val="none" w:sz="0" w:space="0" w:color="auto"/>
        <w:left w:val="none" w:sz="0" w:space="0" w:color="auto"/>
        <w:bottom w:val="none" w:sz="0" w:space="0" w:color="auto"/>
        <w:right w:val="none" w:sz="0" w:space="0" w:color="auto"/>
      </w:divBdr>
    </w:div>
    <w:div w:id="949553230">
      <w:bodyDiv w:val="1"/>
      <w:marLeft w:val="0"/>
      <w:marRight w:val="0"/>
      <w:marTop w:val="0"/>
      <w:marBottom w:val="0"/>
      <w:divBdr>
        <w:top w:val="none" w:sz="0" w:space="0" w:color="auto"/>
        <w:left w:val="none" w:sz="0" w:space="0" w:color="auto"/>
        <w:bottom w:val="none" w:sz="0" w:space="0" w:color="auto"/>
        <w:right w:val="none" w:sz="0" w:space="0" w:color="auto"/>
      </w:divBdr>
    </w:div>
    <w:div w:id="1075905473">
      <w:bodyDiv w:val="1"/>
      <w:marLeft w:val="0"/>
      <w:marRight w:val="0"/>
      <w:marTop w:val="0"/>
      <w:marBottom w:val="0"/>
      <w:divBdr>
        <w:top w:val="none" w:sz="0" w:space="0" w:color="auto"/>
        <w:left w:val="none" w:sz="0" w:space="0" w:color="auto"/>
        <w:bottom w:val="none" w:sz="0" w:space="0" w:color="auto"/>
        <w:right w:val="none" w:sz="0" w:space="0" w:color="auto"/>
      </w:divBdr>
    </w:div>
    <w:div w:id="1080635842">
      <w:bodyDiv w:val="1"/>
      <w:marLeft w:val="0"/>
      <w:marRight w:val="0"/>
      <w:marTop w:val="0"/>
      <w:marBottom w:val="0"/>
      <w:divBdr>
        <w:top w:val="none" w:sz="0" w:space="0" w:color="auto"/>
        <w:left w:val="none" w:sz="0" w:space="0" w:color="auto"/>
        <w:bottom w:val="none" w:sz="0" w:space="0" w:color="auto"/>
        <w:right w:val="none" w:sz="0" w:space="0" w:color="auto"/>
      </w:divBdr>
    </w:div>
    <w:div w:id="1226523363">
      <w:bodyDiv w:val="1"/>
      <w:marLeft w:val="0"/>
      <w:marRight w:val="0"/>
      <w:marTop w:val="0"/>
      <w:marBottom w:val="0"/>
      <w:divBdr>
        <w:top w:val="none" w:sz="0" w:space="0" w:color="auto"/>
        <w:left w:val="none" w:sz="0" w:space="0" w:color="auto"/>
        <w:bottom w:val="none" w:sz="0" w:space="0" w:color="auto"/>
        <w:right w:val="none" w:sz="0" w:space="0" w:color="auto"/>
      </w:divBdr>
    </w:div>
    <w:div w:id="1285505804">
      <w:bodyDiv w:val="1"/>
      <w:marLeft w:val="0"/>
      <w:marRight w:val="0"/>
      <w:marTop w:val="0"/>
      <w:marBottom w:val="0"/>
      <w:divBdr>
        <w:top w:val="none" w:sz="0" w:space="0" w:color="auto"/>
        <w:left w:val="none" w:sz="0" w:space="0" w:color="auto"/>
        <w:bottom w:val="none" w:sz="0" w:space="0" w:color="auto"/>
        <w:right w:val="none" w:sz="0" w:space="0" w:color="auto"/>
      </w:divBdr>
    </w:div>
    <w:div w:id="1352804728">
      <w:bodyDiv w:val="1"/>
      <w:marLeft w:val="0"/>
      <w:marRight w:val="0"/>
      <w:marTop w:val="0"/>
      <w:marBottom w:val="0"/>
      <w:divBdr>
        <w:top w:val="none" w:sz="0" w:space="0" w:color="auto"/>
        <w:left w:val="none" w:sz="0" w:space="0" w:color="auto"/>
        <w:bottom w:val="none" w:sz="0" w:space="0" w:color="auto"/>
        <w:right w:val="none" w:sz="0" w:space="0" w:color="auto"/>
      </w:divBdr>
    </w:div>
    <w:div w:id="1488091588">
      <w:bodyDiv w:val="1"/>
      <w:marLeft w:val="0"/>
      <w:marRight w:val="0"/>
      <w:marTop w:val="0"/>
      <w:marBottom w:val="0"/>
      <w:divBdr>
        <w:top w:val="none" w:sz="0" w:space="0" w:color="auto"/>
        <w:left w:val="none" w:sz="0" w:space="0" w:color="auto"/>
        <w:bottom w:val="none" w:sz="0" w:space="0" w:color="auto"/>
        <w:right w:val="none" w:sz="0" w:space="0" w:color="auto"/>
      </w:divBdr>
    </w:div>
    <w:div w:id="1513062379">
      <w:bodyDiv w:val="1"/>
      <w:marLeft w:val="0"/>
      <w:marRight w:val="0"/>
      <w:marTop w:val="0"/>
      <w:marBottom w:val="0"/>
      <w:divBdr>
        <w:top w:val="none" w:sz="0" w:space="0" w:color="auto"/>
        <w:left w:val="none" w:sz="0" w:space="0" w:color="auto"/>
        <w:bottom w:val="none" w:sz="0" w:space="0" w:color="auto"/>
        <w:right w:val="none" w:sz="0" w:space="0" w:color="auto"/>
      </w:divBdr>
    </w:div>
    <w:div w:id="1586377871">
      <w:bodyDiv w:val="1"/>
      <w:marLeft w:val="0"/>
      <w:marRight w:val="0"/>
      <w:marTop w:val="0"/>
      <w:marBottom w:val="0"/>
      <w:divBdr>
        <w:top w:val="none" w:sz="0" w:space="0" w:color="auto"/>
        <w:left w:val="none" w:sz="0" w:space="0" w:color="auto"/>
        <w:bottom w:val="none" w:sz="0" w:space="0" w:color="auto"/>
        <w:right w:val="none" w:sz="0" w:space="0" w:color="auto"/>
      </w:divBdr>
    </w:div>
    <w:div w:id="1691566413">
      <w:bodyDiv w:val="1"/>
      <w:marLeft w:val="0"/>
      <w:marRight w:val="0"/>
      <w:marTop w:val="0"/>
      <w:marBottom w:val="0"/>
      <w:divBdr>
        <w:top w:val="none" w:sz="0" w:space="0" w:color="auto"/>
        <w:left w:val="none" w:sz="0" w:space="0" w:color="auto"/>
        <w:bottom w:val="none" w:sz="0" w:space="0" w:color="auto"/>
        <w:right w:val="none" w:sz="0" w:space="0" w:color="auto"/>
      </w:divBdr>
    </w:div>
    <w:div w:id="1806848366">
      <w:bodyDiv w:val="1"/>
      <w:marLeft w:val="0"/>
      <w:marRight w:val="0"/>
      <w:marTop w:val="0"/>
      <w:marBottom w:val="0"/>
      <w:divBdr>
        <w:top w:val="none" w:sz="0" w:space="0" w:color="auto"/>
        <w:left w:val="none" w:sz="0" w:space="0" w:color="auto"/>
        <w:bottom w:val="none" w:sz="0" w:space="0" w:color="auto"/>
        <w:right w:val="none" w:sz="0" w:space="0" w:color="auto"/>
      </w:divBdr>
    </w:div>
    <w:div w:id="1946768705">
      <w:bodyDiv w:val="1"/>
      <w:marLeft w:val="0"/>
      <w:marRight w:val="0"/>
      <w:marTop w:val="0"/>
      <w:marBottom w:val="0"/>
      <w:divBdr>
        <w:top w:val="none" w:sz="0" w:space="0" w:color="auto"/>
        <w:left w:val="none" w:sz="0" w:space="0" w:color="auto"/>
        <w:bottom w:val="none" w:sz="0" w:space="0" w:color="auto"/>
        <w:right w:val="none" w:sz="0" w:space="0" w:color="auto"/>
      </w:divBdr>
    </w:div>
    <w:div w:id="2013792949">
      <w:bodyDiv w:val="1"/>
      <w:marLeft w:val="0"/>
      <w:marRight w:val="0"/>
      <w:marTop w:val="0"/>
      <w:marBottom w:val="0"/>
      <w:divBdr>
        <w:top w:val="none" w:sz="0" w:space="0" w:color="auto"/>
        <w:left w:val="none" w:sz="0" w:space="0" w:color="auto"/>
        <w:bottom w:val="none" w:sz="0" w:space="0" w:color="auto"/>
        <w:right w:val="none" w:sz="0" w:space="0" w:color="auto"/>
      </w:divBdr>
    </w:div>
    <w:div w:id="2032297293">
      <w:bodyDiv w:val="1"/>
      <w:marLeft w:val="0"/>
      <w:marRight w:val="0"/>
      <w:marTop w:val="0"/>
      <w:marBottom w:val="0"/>
      <w:divBdr>
        <w:top w:val="none" w:sz="0" w:space="0" w:color="auto"/>
        <w:left w:val="none" w:sz="0" w:space="0" w:color="auto"/>
        <w:bottom w:val="none" w:sz="0" w:space="0" w:color="auto"/>
        <w:right w:val="none" w:sz="0" w:space="0" w:color="auto"/>
      </w:divBdr>
    </w:div>
    <w:div w:id="2060471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gim.com/landg-assets/lgim/_document-library/capabilities/lgim-engagement-policy.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buck_word_colortheme">
  <a:themeElements>
    <a:clrScheme name="Buck">
      <a:dk1>
        <a:srgbClr val="000000"/>
      </a:dk1>
      <a:lt1>
        <a:srgbClr val="FFFFFF"/>
      </a:lt1>
      <a:dk2>
        <a:srgbClr val="DDDDDD"/>
      </a:dk2>
      <a:lt2>
        <a:srgbClr val="FFFFFF"/>
      </a:lt2>
      <a:accent1>
        <a:srgbClr val="FFBF00"/>
      </a:accent1>
      <a:accent2>
        <a:srgbClr val="20A3ED"/>
      </a:accent2>
      <a:accent3>
        <a:srgbClr val="E8209D"/>
      </a:accent3>
      <a:accent4>
        <a:srgbClr val="341399"/>
      </a:accent4>
      <a:accent5>
        <a:srgbClr val="DDDDDD"/>
      </a:accent5>
      <a:accent6>
        <a:srgbClr val="000000"/>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uck_word_colortheme" id="{9B0D7BCD-E9CF-674B-ABC3-86576A69E116}" vid="{E4D57419-BE86-7644-9464-9043B7C71A1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mmary0 xmlns="8053ef75-2f32-413f-93fd-2b4826bc08b8">Template for DB engagement policy implementation statement setting out how, and the extent to which, the trustee's policy on stewardship of investments has been followed and information on their voting behaviour.</Summary0>
    <Author0 xmlns="8053ef75-2f32-413f-93fd-2b4826bc08b8">
      <UserInfo>
        <DisplayName/>
        <AccountId xsi:nil="true"/>
        <AccountType/>
      </UserInfo>
    </Author0>
    <NFunctions xmlns="8053ef75-2f32-413f-93fd-2b4826bc08b8">
      <Value>Standard/policy/procedure</Value>
    </NFunctions>
    <NSpecialities xmlns="8053ef75-2f32-413f-93fd-2b4826bc08b8"/>
    <Reviewer xmlns="8053ef75-2f32-413f-93fd-2b4826bc08b8">
      <UserInfo>
        <DisplayName/>
        <AccountId xsi:nil="true"/>
        <AccountType/>
      </UserInfo>
    </Reviewer>
    <NSubjects xmlns="8053ef75-2f32-413f-93fd-2b4826bc08b8">
      <Value>Accounting (trustee)</Value>
      <Value>Disclosure of information</Value>
      <Value>General investment</Value>
    </NSubjects>
    <Issued0 xmlns="8053ef75-2f32-413f-93fd-2b4826bc08b8">2020-09-27T23:00:00+00:00</Issued0>
    <Archived_x003f__x0020_2 xmlns="8053ef75-2f32-413f-93fd-2b4826bc08b8">false</Archived_x003f__x0020_2>
    <Editor0 xmlns="8053ef75-2f32-413f-93fd-2b4826bc08b8">
      <UserInfo>
        <DisplayName/>
        <AccountId xsi:nil="true"/>
        <AccountType/>
      </UserInfo>
    </Editor0>
    <Status xmlns="8053ef75-2f32-413f-93fd-2b4826bc08b8">Out</Status>
    <NDocument_x002f_Link xmlns="8053ef75-2f32-413f-93fd-2b4826bc08b8">
      <Url>https://buckglobalgbr.sharepoint.com/sites/KRCUK/KRC%20Documents/Template%20for%20DB%20engagement%20policy%20implementation%20statement%20v1.1%20September%202020.docx</Url>
      <Description>Template for DB engagement policy implementation statement v1.1 - September 2020</Description>
    </NDocument_x002f_Link>
    <NTopic xmlns="8053ef75-2f32-413f-93fd-2b4826bc08b8">Implementation statements</NTopic>
    <NPractice_x0020_Areas xmlns="8053ef75-2f32-413f-93fd-2b4826bc08b8">
      <Value>Investment</Value>
      <Value>Retirement</Value>
    </NPractice_x0020_Areas>
    <Main_x0020_Topic xmlns="8053ef75-2f32-413f-93fd-2b4826bc08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E723C33844254CBEE1E02DA03BD292" ma:contentTypeVersion="23" ma:contentTypeDescription="Create a new document." ma:contentTypeScope="" ma:versionID="48a68fa975b9c347f5a0a5f8c62c3aab">
  <xsd:schema xmlns:xsd="http://www.w3.org/2001/XMLSchema" xmlns:xs="http://www.w3.org/2001/XMLSchema" xmlns:p="http://schemas.microsoft.com/office/2006/metadata/properties" xmlns:ns2="8053ef75-2f32-413f-93fd-2b4826bc08b8" xmlns:ns3="14a02ca3-f05a-48e2-b77b-0c08f589cf7a" targetNamespace="http://schemas.microsoft.com/office/2006/metadata/properties" ma:root="true" ma:fieldsID="3decccdf5e9cd3d9b23702eed55a5f57" ns2:_="" ns3:_="">
    <xsd:import namespace="8053ef75-2f32-413f-93fd-2b4826bc08b8"/>
    <xsd:import namespace="14a02ca3-f05a-48e2-b77b-0c08f589cf7a"/>
    <xsd:element name="properties">
      <xsd:complexType>
        <xsd:sequence>
          <xsd:element name="documentManagement">
            <xsd:complexType>
              <xsd:all>
                <xsd:element ref="ns2:NDocument_x002f_Link" minOccurs="0"/>
                <xsd:element ref="ns2:Issued0"/>
                <xsd:element ref="ns2:Summary0" minOccurs="0"/>
                <xsd:element ref="ns2:NSubjects" minOccurs="0"/>
                <xsd:element ref="ns2:NTopic" minOccurs="0"/>
                <xsd:element ref="ns2:NFunctions" minOccurs="0"/>
                <xsd:element ref="ns2:NPractice_x0020_Areas" minOccurs="0"/>
                <xsd:element ref="ns2:NSpecialities" minOccurs="0"/>
                <xsd:element ref="ns2:Main_x0020_Topic" minOccurs="0"/>
                <xsd:element ref="ns2:Archived_x003f__x0020_2" minOccurs="0"/>
                <xsd:element ref="ns2:Author0" minOccurs="0"/>
                <xsd:element ref="ns2:Reviewer" minOccurs="0"/>
                <xsd:element ref="ns2:Editor0" minOccurs="0"/>
                <xsd:element ref="ns2:Statu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ef75-2f32-413f-93fd-2b4826bc08b8" elementFormDefault="qualified">
    <xsd:import namespace="http://schemas.microsoft.com/office/2006/documentManagement/types"/>
    <xsd:import namespace="http://schemas.microsoft.com/office/infopath/2007/PartnerControls"/>
    <xsd:element name="NDocument_x002f_Link" ma:index="1" nillable="true" ma:displayName="Document/Link" ma:format="Hyperlink" ma:internalName="NDocument_x002f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ssued0" ma:index="2" ma:displayName="Issued" ma:format="DateOnly" ma:indexed="true" ma:internalName="Issued0" ma:readOnly="false">
      <xsd:simpleType>
        <xsd:restriction base="dms:DateTime"/>
      </xsd:simpleType>
    </xsd:element>
    <xsd:element name="Summary0" ma:index="3" nillable="true" ma:displayName="Summary" ma:internalName="Summary0" ma:readOnly="false">
      <xsd:simpleType>
        <xsd:restriction base="dms:Note">
          <xsd:maxLength value="255"/>
        </xsd:restriction>
      </xsd:simpleType>
    </xsd:element>
    <xsd:element name="NSubjects" ma:index="4" nillable="true" ma:displayName="Subjects" ma:internalName="NSubjects" ma:readOnly="false">
      <xsd:complexType>
        <xsd:complexContent>
          <xsd:extension base="dms:MultiChoice">
            <xsd:sequence>
              <xsd:element name="Value" maxOccurs="unbounded" minOccurs="0" nillable="true">
                <xsd:simpleType>
                  <xsd:restriction base="dms:Choice">
                    <xsd:enumeration value="Accounting (corporate)"/>
                    <xsd:enumeration value="Accounting (trustee)"/>
                    <xsd:enumeration value="Actuarial factors"/>
                    <xsd:enumeration value="Actuarial valuations"/>
                    <xsd:enumeration value="Administration issues"/>
                    <xsd:enumeration value="Annuity purchase"/>
                    <xsd:enumeration value="Asset-backed funding"/>
                    <xsd:enumeration value="Asset classes/types"/>
                    <xsd:enumeration value="Asset liability models"/>
                    <xsd:enumeration value="Asset transition management/coordination"/>
                    <xsd:enumeration value="Automatic enrolment &amp; NEST"/>
                    <xsd:enumeration value="Bankruptcy"/>
                    <xsd:enumeration value="Behavioural finance"/>
                    <xsd:enumeration value="Benchmarks and indices"/>
                    <xsd:enumeration value="Benefit audit/record keeping"/>
                    <xsd:enumeration value="Bulk buy-outs/buy-ins"/>
                    <xsd:enumeration value="Bulk transfers"/>
                    <xsd:enumeration value="Cash equivalents"/>
                    <xsd:enumeration value="Cash plans (medical)"/>
                    <xsd:enumeration value="Climate change risk"/>
                    <xsd:enumeration value="Closure to future accrual"/>
                    <xsd:enumeration value="Combined Pension Forecasts"/>
                    <xsd:enumeration value="Communication"/>
                    <xsd:enumeration value="Commutation"/>
                    <xsd:enumeration value="Conflicts of interest"/>
                    <xsd:enumeration value="Contingent assets"/>
                    <xsd:enumeration value="Contracting-in/contracting-out"/>
                    <xsd:enumeration value="Corporate consulting"/>
                    <xsd:enumeration value="Data Protection"/>
                    <xsd:enumeration value="DB consolidation"/>
                    <xsd:enumeration value="DC Consulting"/>
                    <xsd:enumeration value="DC investment advice (contract based)"/>
                    <xsd:enumeration value="DC investment advice (trust based)"/>
                    <xsd:enumeration value="DC schemes"/>
                    <xsd:enumeration value="Death benefits"/>
                    <xsd:enumeration value="Death in service/events limits modelling"/>
                    <xsd:enumeration value="Dental cover"/>
                    <xsd:enumeration value="Directed consulting"/>
                    <xsd:enumeration value="Disclosure of information"/>
                    <xsd:enumeration value="Divorce"/>
                    <xsd:enumeration value="Dynamic derisking"/>
                    <xsd:enumeration value="Early leavers"/>
                    <xsd:enumeration value="Early retirement (incl. incapacity)"/>
                    <xsd:enumeration value="Economic assumptions"/>
                    <xsd:enumeration value="Employee assistance plans"/>
                    <xsd:enumeration value="Employer consultation"/>
                    <xsd:enumeration value="Employer covenant"/>
                    <xsd:enumeration value="Employer debt"/>
                    <xsd:enumeration value="Enhanced transfer values (member advice)"/>
                    <xsd:enumeration value="Equal treatment"/>
                    <xsd:enumeration value="Equitable Life"/>
                    <xsd:enumeration value="Expat risk benefits"/>
                    <xsd:enumeration value="Family leave (maternity; paternity; adoption)"/>
                    <xsd:enumeration value="Financial advice"/>
                    <xsd:enumeration value="Financial Assistance Scheme"/>
                    <xsd:enumeration value="Flexible benefits"/>
                    <xsd:enumeration value="Flexible retirement"/>
                    <xsd:enumeration value="General administration"/>
                    <xsd:enumeration value="General investment"/>
                    <xsd:enumeration value="Governance (corporate)"/>
                    <xsd:enumeration value="Governance (trustee)"/>
                    <xsd:enumeration value="Group critical illness"/>
                    <xsd:enumeration value="Group income protection"/>
                    <xsd:enumeration value="Group income protection claims management"/>
                    <xsd:enumeration value="Group life assurance"/>
                    <xsd:enumeration value="Healthcare trusts"/>
                    <xsd:enumeration value="Income drawdown"/>
                    <xsd:enumeration value="Integrated solutions"/>
                    <xsd:enumeration value="Internal dispute resolution"/>
                    <xsd:enumeration value="International (incl. European issues)"/>
                    <xsd:enumeration value="International medical cover"/>
                    <xsd:enumeration value="Investment manager research and selection (contract based)"/>
                    <xsd:enumeration value="Investment manager research and selection (trust based)"/>
                    <xsd:enumeration value="Investment matters"/>
                    <xsd:enumeration value="Investment platforms"/>
                    <xsd:enumeration value="Investment risk"/>
                    <xsd:enumeration value="Levies (non-PPF)"/>
                    <xsd:enumeration value="Liability driven investment"/>
                    <xsd:enumeration value="Liability management"/>
                    <xsd:enumeration value="Longevity &amp; mortality"/>
                    <xsd:enumeration value="Medical claims funding analysis"/>
                    <xsd:enumeration value="Member nominated trustees"/>
                    <xsd:enumeration value="Mergers &amp; acquisitions"/>
                    <xsd:enumeration value="Multi-national pooling"/>
                    <xsd:enumeration value="NI (general)"/>
                    <xsd:enumeration value="Occupational health"/>
                    <xsd:enumeration value="Online benefit solutions"/>
                    <xsd:enumeration value="Outsourcing"/>
                    <xsd:enumeration value="Passive and active investment management"/>
                    <xsd:enumeration value="Pensions Regulator"/>
                    <xsd:enumeration value="Pensions tax"/>
                    <xsd:enumeration value="Performance measurement (contract based)"/>
                    <xsd:enumeration value="Performance measurement (trust based)"/>
                    <xsd:enumeration value="Personal accident"/>
                    <xsd:enumeration value="Post-retirement medical benefits"/>
                    <xsd:enumeration value="PPF (entry)"/>
                    <xsd:enumeration value="PPF (levy)"/>
                    <xsd:enumeration value="Private medical"/>
                    <xsd:enumeration value="Quantitative and fundamental investment management"/>
                    <xsd:enumeration value="Retirement financial management"/>
                    <xsd:enumeration value="Revaluation &amp; indexation"/>
                    <xsd:enumeration value="Salary exchange (DB)"/>
                    <xsd:enumeration value="Salary exchange (DC)"/>
                    <xsd:enumeration value="Scheme amendments"/>
                    <xsd:enumeration value="Scheme return"/>
                    <xsd:enumeration value="SMPI"/>
                    <xsd:enumeration value="State benefits (retirement)"/>
                    <xsd:enumeration value="Statement of investment principles (SIP)"/>
                    <xsd:enumeration value="Strategy &amp; design (DB)"/>
                    <xsd:enumeration value="Strategy &amp; design (DC)"/>
                    <xsd:enumeration value="Taxation (general)"/>
                    <xsd:enumeration value="Travel insurance"/>
                    <xsd:enumeration value="Trustee knowledge and understanding (TKU)"/>
                    <xsd:enumeration value="TUPE"/>
                    <xsd:enumeration value="Wealth management"/>
                    <xsd:enumeration value="White labelling"/>
                    <xsd:enumeration value="Winding up"/>
                    <xsd:enumeration value="Workplace savings solutions"/>
                    <xsd:enumeration value="Workplace wellness"/>
                  </xsd:restriction>
                </xsd:simpleType>
              </xsd:element>
            </xsd:sequence>
          </xsd:extension>
        </xsd:complexContent>
      </xsd:complexType>
    </xsd:element>
    <xsd:element name="NTopic" ma:index="5" nillable="true" ma:displayName="Topic" ma:format="Dropdown" ma:indexed="true" ma:internalName="NTopic" ma:readOnly="false">
      <xsd:simpleType>
        <xsd:union memberTypes="dms:Text">
          <xsd:simpleType>
            <xsd:restriction base="dms:Choice">
              <xsd:enumeration value="Accounting (corporate)"/>
              <xsd:enumeration value="Accounting (trustee)"/>
              <xsd:enumeration value="Actuarial factors"/>
              <xsd:enumeration value="Actuarial valuations"/>
              <xsd:enumeration value="Administration issues"/>
              <xsd:enumeration value="Allowances (annual; lifetime)"/>
              <xsd:enumeration value="Annuity purchase"/>
              <xsd:enumeration value="Asset-backed funding"/>
              <xsd:enumeration value="Asset classes/types"/>
              <xsd:enumeration value="Asset liability models"/>
              <xsd:enumeration value="Asset transition management/coordination"/>
              <xsd:enumeration value="Authorised/unauthorised payments"/>
              <xsd:enumeration value="Automatic enrolment &amp; NEST"/>
              <xsd:enumeration value="Bankruptcy"/>
              <xsd:enumeration value="Behavioural finance"/>
              <xsd:enumeration value="Benchmarks and indices"/>
              <xsd:enumeration value="Benefit audit/record keeping"/>
              <xsd:enumeration value="Bulk buy-outs/buy-ins"/>
              <xsd:enumeration value="Bulk transfers"/>
              <xsd:enumeration value="Cash equivalents"/>
              <xsd:enumeration value="Cash plans (medical)"/>
              <xsd:enumeration value="Climate change risk"/>
              <xsd:enumeration value="Closure to future accrual"/>
              <xsd:enumeration value="Combined Pension Forecasts"/>
              <xsd:enumeration value="Communication"/>
              <xsd:enumeration value="Commutation"/>
              <xsd:enumeration value="Conflicts of interest"/>
              <xsd:enumeration value="Contingent assets"/>
              <xsd:enumeration value="Contracting-in/contracting-out"/>
              <xsd:enumeration value="Corporate consulting"/>
              <xsd:enumeration value="Data Protection"/>
              <xsd:enumeration value="DB consolidation"/>
              <xsd:enumeration value="DC Consulting"/>
              <xsd:enumeration value="DC investment advice (contract based)"/>
              <xsd:enumeration value="DC investment advice (trust based)"/>
              <xsd:enumeration value="DC schemes"/>
              <xsd:enumeration value="Death benefits"/>
              <xsd:enumeration value="Death in service/events limits modelling"/>
              <xsd:enumeration value="Dental cover"/>
              <xsd:enumeration value="Directed consulting"/>
              <xsd:enumeration value="Disclosure of information"/>
              <xsd:enumeration value="Divorce"/>
              <xsd:enumeration value="Dynamic derisking"/>
              <xsd:enumeration value="Early leavers"/>
              <xsd:enumeration value="Early retirement (incl. incapacity)"/>
              <xsd:enumeration value="Economic assumptions"/>
              <xsd:enumeration value="Employee assistance plans"/>
              <xsd:enumeration value="Employer consultation"/>
              <xsd:enumeration value="Employer covenant"/>
              <xsd:enumeration value="Employer debt"/>
              <xsd:enumeration value="Enhanced transfer values (member advice)"/>
              <xsd:enumeration value="Equal treatment"/>
              <xsd:enumeration value="Equitable Life"/>
              <xsd:enumeration value="Expat risk benefits"/>
              <xsd:enumeration value="Family leave (maternity; paternity; adoption)"/>
              <xsd:enumeration value="Financial advice"/>
              <xsd:enumeration value="Financial Assistance Scheme"/>
              <xsd:enumeration value="Flexible benefits"/>
              <xsd:enumeration value="Flexible retirement"/>
              <xsd:enumeration value="General administration"/>
              <xsd:enumeration value="General investment"/>
              <xsd:enumeration value="Governance (corporate)"/>
              <xsd:enumeration value="Governance (trustee)"/>
              <xsd:enumeration value="Group critical illness"/>
              <xsd:enumeration value="Group income protection"/>
              <xsd:enumeration value="Group income protection claims management"/>
              <xsd:enumeration value="Group life assurance"/>
              <xsd:enumeration value="Healthcare trusts"/>
              <xsd:enumeration value="High earners"/>
              <xsd:enumeration value="HMRC (registration; administration; reporting)"/>
              <xsd:enumeration value="Income drawdown"/>
              <xsd:enumeration value="Integrated solutions"/>
              <xsd:enumeration value="Internal dispute resolution"/>
              <xsd:enumeration value="International (incl. European issues)"/>
              <xsd:enumeration value="International medical cover"/>
              <xsd:enumeration value="Investment manager research and selection (contract based)"/>
              <xsd:enumeration value="Investment manager research and selection (trust based)"/>
              <xsd:enumeration value="Investment platforms"/>
              <xsd:enumeration value="Investment risk"/>
              <xsd:enumeration value="Levies (non-PPF)"/>
              <xsd:enumeration value="Liability driven investment"/>
              <xsd:enumeration value="Liability management"/>
              <xsd:enumeration value="Longevity &amp; mortality"/>
              <xsd:enumeration value="Medical claims funding analysis"/>
              <xsd:enumeration value="Member nominated trustees"/>
              <xsd:enumeration value="Mergers &amp; acquisitions"/>
              <xsd:enumeration value="Multi-national pooling"/>
              <xsd:enumeration value="NI (general)"/>
              <xsd:enumeration value="Non-registered arrangements"/>
              <xsd:enumeration value="Occupational health"/>
              <xsd:enumeration value="Online benefit solutions"/>
              <xsd:enumeration value="Outsourcing"/>
              <xsd:enumeration value="Passive and active investment management"/>
              <xsd:enumeration value="Pensions Regulator"/>
              <xsd:enumeration value="Performance measurement (contract based)"/>
              <xsd:enumeration value="Performance measurement (trust based)"/>
              <xsd:enumeration value="Personal accident"/>
              <xsd:enumeration value="Post-retirement medical benefits"/>
              <xsd:enumeration value="PPF (entry)"/>
              <xsd:enumeration value="PPF (levy)"/>
              <xsd:enumeration value="Pre-6 April 2006 tax regimes"/>
              <xsd:enumeration value="Private medical"/>
              <xsd:enumeration value="Protection (enhanced; primary; fixed)"/>
              <xsd:enumeration value="Quantitative and fundamental investment management"/>
              <xsd:enumeration value="Retirement financial management"/>
              <xsd:enumeration value="Revaluation &amp; indexation"/>
              <xsd:enumeration value="Salary exchange (DB)"/>
              <xsd:enumeration value="Salary exchange (DC)"/>
              <xsd:enumeration value="Scheme amendments"/>
              <xsd:enumeration value="Scheme pays"/>
              <xsd:enumeration value="State benefits (retirement)"/>
              <xsd:enumeration value="Statement of investment principles (SIP)"/>
              <xsd:enumeration value="Strategy &amp; design (DB)"/>
              <xsd:enumeration value="Strategy &amp; design (DC)"/>
              <xsd:enumeration value="Taxation (general)"/>
              <xsd:enumeration value="Travel insurance"/>
              <xsd:enumeration value="Trustee knowledge and understanding (TKU)"/>
              <xsd:enumeration value="TUPE"/>
              <xsd:enumeration value="Wealth management"/>
              <xsd:enumeration value="Whistleblowing"/>
              <xsd:enumeration value="White labelling"/>
              <xsd:enumeration value="Winding up"/>
              <xsd:enumeration value="Workplace savings solutions"/>
              <xsd:enumeration value="Workplace wellness"/>
              <xsd:enumeration value="Briefing note"/>
              <xsd:enumeration value="Consultation"/>
              <xsd:enumeration value="Policy/procedure"/>
              <xsd:enumeration value="Report/survey"/>
              <xsd:enumeration value="Scheme Actuary"/>
              <xsd:enumeration value="Seminar"/>
              <xsd:enumeration value="Standard"/>
              <xsd:enumeration value="Software"/>
              <xsd:enumeration value="Tool"/>
              <xsd:enumeration value="Work example"/>
            </xsd:restriction>
          </xsd:simpleType>
        </xsd:union>
      </xsd:simpleType>
    </xsd:element>
    <xsd:element name="NFunctions" ma:index="6" nillable="true" ma:displayName="Functions" ma:internalName="NFunctions" ma:readOnly="false">
      <xsd:complexType>
        <xsd:complexContent>
          <xsd:extension base="dms:MultiChoice">
            <xsd:sequence>
              <xsd:element name="Value" maxOccurs="unbounded" minOccurs="0" nillable="true">
                <xsd:simpleType>
                  <xsd:restriction base="dms:Choice">
                    <xsd:enumeration value="Brexit"/>
                    <xsd:enumeration value="Briefing note"/>
                    <xsd:enumeration value="Budget 2014"/>
                    <xsd:enumeration value="Consultation"/>
                    <xsd:enumeration value="Coronavirus"/>
                    <xsd:enumeration value="GMP equalisation"/>
                    <xsd:enumeration value="Professional"/>
                    <xsd:enumeration value="Report/survey"/>
                    <xsd:enumeration value="Seminar"/>
                    <xsd:enumeration value="Standard/policy/procedure"/>
                    <xsd:enumeration value="Tool/software"/>
                    <xsd:enumeration value="Work example"/>
                  </xsd:restriction>
                </xsd:simpleType>
              </xsd:element>
            </xsd:sequence>
          </xsd:extension>
        </xsd:complexContent>
      </xsd:complexType>
    </xsd:element>
    <xsd:element name="NPractice_x0020_Areas" ma:index="7" nillable="true" ma:displayName="Practice Areas" ma:internalName="NPractice_x0020_Areas" ma:readOnly="false">
      <xsd:complexType>
        <xsd:complexContent>
          <xsd:extension base="dms:MultiChoice">
            <xsd:sequence>
              <xsd:element name="Value" maxOccurs="unbounded" minOccurs="0" nillable="true">
                <xsd:simpleType>
                  <xsd:restriction base="dms:Choice">
                    <xsd:enumeration value="DC &amp; Wealth"/>
                    <xsd:enumeration value="Global Benefits Administration"/>
                    <xsd:enumeration value="Health &amp; Productivity"/>
                    <xsd:enumeration value="Human Capital"/>
                    <xsd:enumeration value="Investment"/>
                    <xsd:enumeration value="Retirement"/>
                  </xsd:restriction>
                </xsd:simpleType>
              </xsd:element>
            </xsd:sequence>
          </xsd:extension>
        </xsd:complexContent>
      </xsd:complexType>
    </xsd:element>
    <xsd:element name="NSpecialities" ma:index="8" nillable="true" ma:displayName="Specialities" ma:internalName="NSpecialities" ma:readOnly="false">
      <xsd:complexType>
        <xsd:complexContent>
          <xsd:extension base="dms:MultiChoice">
            <xsd:sequence>
              <xsd:element name="Value" maxOccurs="unbounded" minOccurs="0" nillable="true">
                <xsd:simpleType>
                  <xsd:restriction base="dms:Choice">
                    <xsd:enumeration value="Actuarial"/>
                  </xsd:restriction>
                </xsd:simpleType>
              </xsd:element>
            </xsd:sequence>
          </xsd:extension>
        </xsd:complexContent>
      </xsd:complexType>
    </xsd:element>
    <xsd:element name="Main_x0020_Topic" ma:index="9" nillable="true" ma:displayName="Main Topic" ma:description="Normally blank.  Use for special views eg. Budget 2014." ma:format="Dropdown" ma:internalName="Main_x0020_Topic" ma:readOnly="false">
      <xsd:simpleType>
        <xsd:union memberTypes="dms:Text">
          <xsd:simpleType>
            <xsd:restriction base="dms:Choice">
              <xsd:enumeration value="Accounting (corporate)"/>
              <xsd:enumeration value="Accounting (trustee)"/>
              <xsd:enumeration value="Actuarial factors"/>
              <xsd:enumeration value="Actuarial valuations"/>
              <xsd:enumeration value="Administration issues"/>
              <xsd:enumeration value="Allowances (annual; lifetime)"/>
              <xsd:enumeration value="Annuity purchase"/>
              <xsd:enumeration value="Asset-backed funding"/>
              <xsd:enumeration value="Asset classes/types"/>
              <xsd:enumeration value="Asset liability models"/>
              <xsd:enumeration value="Asset transition management/coordination"/>
              <xsd:enumeration value="Authorised/unauthorised payments"/>
              <xsd:enumeration value="Automatic enrolment &amp; NEST"/>
              <xsd:enumeration value="Bankruptcy"/>
              <xsd:enumeration value="Behavioural finance"/>
              <xsd:enumeration value="Benchmarks and indices"/>
              <xsd:enumeration value="Benefit audit/record keeping"/>
              <xsd:enumeration value="Bulk buy-outs/buy-ins"/>
              <xsd:enumeration value="Bulk transfers"/>
              <xsd:enumeration value="Cash equivalents"/>
              <xsd:enumeration value="Cash plans (medical)"/>
              <xsd:enumeration value="Climate change risk"/>
              <xsd:enumeration value="Closure to future accrual"/>
              <xsd:enumeration value="Combined Pension Forecasts"/>
              <xsd:enumeration value="Communication"/>
              <xsd:enumeration value="Commutation"/>
              <xsd:enumeration value="Conflicts of interest"/>
              <xsd:enumeration value="Contingent assets"/>
              <xsd:enumeration value="Contracting-in/contracting-out"/>
              <xsd:enumeration value="Corporate consulting"/>
              <xsd:enumeration value="Currency hedging"/>
              <xsd:enumeration value="Data Protection"/>
              <xsd:enumeration value="DC Consulting"/>
              <xsd:enumeration value="DC investment advice (contract based)"/>
              <xsd:enumeration value="DC investment advice (trust based)"/>
              <xsd:enumeration value="DC schemes"/>
              <xsd:enumeration value="Death benefits"/>
              <xsd:enumeration value="Death in service/events limits modelling"/>
              <xsd:enumeration value="Dental cover"/>
              <xsd:enumeration value="Directed consulting"/>
              <xsd:enumeration value="Disclosure of information"/>
              <xsd:enumeration value="Divorce"/>
              <xsd:enumeration value="Dynamic derisking"/>
              <xsd:enumeration value="Early leavers"/>
              <xsd:enumeration value="Early retirement (incl. incapacity)"/>
              <xsd:enumeration value="Economic assumptions"/>
              <xsd:enumeration value="Employee assistance plans"/>
              <xsd:enumeration value="Employer consultation"/>
              <xsd:enumeration value="Employer covenant"/>
              <xsd:enumeration value="Employer debt"/>
              <xsd:enumeration value="Enhanced transfer values (member advice)"/>
              <xsd:enumeration value="Equal treatment"/>
              <xsd:enumeration value="Equitable Life"/>
              <xsd:enumeration value="Expat risk benefits"/>
              <xsd:enumeration value="Family leave (maternity; paternity; adoption)"/>
              <xsd:enumeration value="Financial advice"/>
              <xsd:enumeration value="Financial Assistance Scheme"/>
              <xsd:enumeration value="Flexible benefits"/>
              <xsd:enumeration value="Flexible retirement"/>
              <xsd:enumeration value="General administration"/>
              <xsd:enumeration value="General investment"/>
              <xsd:enumeration value="Governance (corporate)"/>
              <xsd:enumeration value="Governance (trustee)"/>
              <xsd:enumeration value="Group critical illness"/>
              <xsd:enumeration value="Group income protection"/>
              <xsd:enumeration value="Group income protection claims management"/>
              <xsd:enumeration value="Group life assurance"/>
              <xsd:enumeration value="Healthcare trusts"/>
              <xsd:enumeration value="High earners"/>
              <xsd:enumeration value="HMRC (registration; administration; reporting)"/>
              <xsd:enumeration value="Income drawdown"/>
              <xsd:enumeration value="Integrated solutions"/>
              <xsd:enumeration value="Internal dispute resolution"/>
              <xsd:enumeration value="International (incl. European issues)"/>
              <xsd:enumeration value="International medical cover"/>
              <xsd:enumeration value="Investment manager research and selection (contract based)"/>
              <xsd:enumeration value="Investment manager research and selection (trust based)"/>
              <xsd:enumeration value="Investment platforms"/>
              <xsd:enumeration value="Investment risk"/>
              <xsd:enumeration value="Levies (non-PPF)"/>
              <xsd:enumeration value="Liability driven investment"/>
              <xsd:enumeration value="Liability management"/>
              <xsd:enumeration value="Longevity &amp; mortality"/>
              <xsd:enumeration value="Medical claims funding analysis"/>
              <xsd:enumeration value="Member nominated trustees"/>
              <xsd:enumeration value="Mergers &amp; acquisitions"/>
              <xsd:enumeration value="Multi-national pooling"/>
              <xsd:enumeration value="NI (general)"/>
              <xsd:enumeration value="Non-registered arrangements"/>
              <xsd:enumeration value="Occupational health"/>
              <xsd:enumeration value="Online benefit solutions"/>
              <xsd:enumeration value="Outsourcing"/>
              <xsd:enumeration value="Passive and active investment management"/>
              <xsd:enumeration value="Pensions Regulator"/>
              <xsd:enumeration value="Performance measurement (contract based)"/>
              <xsd:enumeration value="Performance measurement (trust based)"/>
              <xsd:enumeration value="Personal accident"/>
              <xsd:enumeration value="Post-retirement medical benefits"/>
              <xsd:enumeration value="PPF (entry)"/>
              <xsd:enumeration value="PPF (levy)"/>
              <xsd:enumeration value="Pre-6 April 2006 tax regimes"/>
              <xsd:enumeration value="Private medical"/>
              <xsd:enumeration value="Protection (enhanced; primary; fixed)"/>
              <xsd:enumeration value="Quantitative and fundamental investment management"/>
              <xsd:enumeration value="Retirement financial management"/>
              <xsd:enumeration value="Revaluation &amp; indexation"/>
              <xsd:enumeration value="Salary exchange (DB)"/>
              <xsd:enumeration value="Salary exchange (DC)"/>
              <xsd:enumeration value="Scheme amendments"/>
              <xsd:enumeration value="Scheme pays"/>
              <xsd:enumeration value="State benefits (retirement)"/>
              <xsd:enumeration value="Statement of investment principles (SIP)"/>
              <xsd:enumeration value="Strategy &amp; design (DB)"/>
              <xsd:enumeration value="Strategy &amp; design (DC)"/>
              <xsd:enumeration value="Taxation (general)"/>
              <xsd:enumeration value="Travel insurance"/>
              <xsd:enumeration value="Trustee knowledge and understanding (TKU)"/>
              <xsd:enumeration value="TUPE"/>
              <xsd:enumeration value="Wealth management"/>
              <xsd:enumeration value="White labelling"/>
              <xsd:enumeration value="Winding up"/>
              <xsd:enumeration value="Workplace savings solutions"/>
              <xsd:enumeration value="Workplace wellness"/>
            </xsd:restriction>
          </xsd:simpleType>
        </xsd:union>
      </xsd:simpleType>
    </xsd:element>
    <xsd:element name="Archived_x003f__x0020_2" ma:index="10" nillable="true" ma:displayName="Archived?" ma:default="0" ma:indexed="true" ma:internalName="Archived_x003f__x0020_2" ma:readOnly="false">
      <xsd:simpleType>
        <xsd:restriction base="dms:Boolean"/>
      </xsd:simpleType>
    </xsd:element>
    <xsd:element name="Author0" ma:index="11" nillable="true" ma:displayName="Author" ma:list="UserInfo"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12" nillable="true" ma:displayName="Reviewer" ma:list="UserInfo"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0" ma:index="13" nillable="true" ma:displayName="Editor" ma:list="UserInfo" ma:internalName="Edit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ma:readOnly="false">
      <xsd:simpleType>
        <xsd:restriction base="dms:Choice">
          <xsd:enumeration value="Pre-Draft"/>
          <xsd:enumeration value="Initial Draft"/>
          <xsd:enumeration value="Initial Draft - complete"/>
          <xsd:enumeration value="Peer Review - in progress"/>
          <xsd:enumeration value="Peer Review - complete"/>
          <xsd:enumeration value="Editor Review"/>
          <xsd:enumeration value="Editor Review - complete"/>
          <xsd:enumeration value="Out"/>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02ca3-f05a-48e2-b77b-0c08f589cf7a"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5" ma:displayName="Z1 - dele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C7E5A-D80A-4752-A0F8-2DE170140C41}">
  <ds:schemaRefs>
    <ds:schemaRef ds:uri="http://schemas.microsoft.com/office/2006/metadata/properties"/>
    <ds:schemaRef ds:uri="http://schemas.microsoft.com/office/infopath/2007/PartnerControls"/>
    <ds:schemaRef ds:uri="8053ef75-2f32-413f-93fd-2b4826bc08b8"/>
  </ds:schemaRefs>
</ds:datastoreItem>
</file>

<file path=customXml/itemProps2.xml><?xml version="1.0" encoding="utf-8"?>
<ds:datastoreItem xmlns:ds="http://schemas.openxmlformats.org/officeDocument/2006/customXml" ds:itemID="{9581BF36-4AD2-449C-8EA9-9B7AE429D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ef75-2f32-413f-93fd-2b4826bc08b8"/>
    <ds:schemaRef ds:uri="14a02ca3-f05a-48e2-b77b-0c08f589c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EAFF1-A102-4F90-9057-B386ADE1E368}">
  <ds:schemaRefs>
    <ds:schemaRef ds:uri="http://schemas.microsoft.com/sharepoint/v3/contenttype/forms"/>
  </ds:schemaRefs>
</ds:datastoreItem>
</file>

<file path=customXml/itemProps4.xml><?xml version="1.0" encoding="utf-8"?>
<ds:datastoreItem xmlns:ds="http://schemas.openxmlformats.org/officeDocument/2006/customXml" ds:itemID="{99B1A3A1-410C-4CC3-8139-2662757E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5203</Words>
  <Characters>29662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Almazan</dc:creator>
  <cp:keywords/>
  <dc:description/>
  <cp:lastModifiedBy>Shirley Collier</cp:lastModifiedBy>
  <cp:revision>3</cp:revision>
  <dcterms:created xsi:type="dcterms:W3CDTF">2024-09-27T15:00:00Z</dcterms:created>
  <dcterms:modified xsi:type="dcterms:W3CDTF">2025-03-26T13:54:00Z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0x010100B3E723C33844254CBEE1E02DA03BD292</vt:lpwstr>
  </property>
</Properties>
</file>